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Consultas al Mandante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Licitación</w:t>
            </w:r>
          </w:p>
        </w:tc>
        <w:tc>
          <w:tcPr>
            <w:tcW w:type="dxa" w:w="4320"/>
          </w:tcPr>
          <w:p>
            <w:r>
              <w:t>TFEP-01/2026 — Caso 09: Cadena Multitienda (Multitiendas Ancoa S.A.)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Empresa proponente</w:t>
            </w:r>
          </w:p>
        </w:tc>
        <w:tc>
          <w:tcPr>
            <w:tcW w:type="dxa" w:w="4320"/>
          </w:tcPr>
          <w:p>
            <w:r>
              <w:t>Only Simple Solutions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Representante / líder</w:t>
            </w:r>
          </w:p>
        </w:tc>
        <w:tc>
          <w:tcPr>
            <w:tcW w:type="dxa" w:w="4320"/>
          </w:tcPr>
          <w:p>
            <w:r>
              <w:t>Vicente Rosales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Alex Alfaro, Samira Becerra, Manuel Aguilera, Martin Vasquez, Daniel Cepeda, Eliseo Guarda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31-08-2026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Período de consultas</w:t>
            </w:r>
          </w:p>
        </w:tc>
        <w:tc>
          <w:tcPr>
            <w:tcW w:type="dxa" w:w="4320"/>
          </w:tcPr>
          <w:p>
            <w:r>
              <w:t>20-08-2026 al 01-09-2026 (Formulario T-20)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Canal</w:t>
            </w:r>
          </w:p>
        </w:tc>
        <w:tc>
          <w:tcPr>
            <w:tcW w:type="dxa" w:w="4320"/>
          </w:tcPr>
          <w:p>
            <w:r>
              <w:t>Canal oficial del proceso, conforme al Art. 43 de las Bases Administrativas</w:t>
            </w:r>
          </w:p>
        </w:tc>
      </w:tr>
    </w:tbl>
    <w:p/>
    <w:p>
      <w:r>
        <w:t>Por medio de la presente, Only Simple Solutions formula las siguientes consultas al CLIENTE durante el período habilitado en el Formulario T-20, en los términos del Art. 43 de las Bases Administrativas. Cada consulta se presenta en la planilla oficial de columnas A-G (Art. 43.2) y se acompaña, cuando corresponde, de una propuesta de interpretación del proponente. La Parte II de este documento detalla, por separado, el origen y la justificación de cada consulta.</w:t>
      </w:r>
    </w:p>
    <w:p>
      <w:pPr>
        <w:pStyle w:val="Heading1"/>
      </w:pPr>
      <w:r>
        <w:t>PARTE I — Consultas (columnas A-G del Art. 43.2)</w:t>
      </w:r>
    </w:p>
    <w:p>
      <w:r>
        <w:t>Adicional a las columnas A-G exigidas por el Art. 43.2, se incorpora una columna de «Consecuencia si no se aclara» para evidenciar el impacto de cada ambigüedad.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Consulta detallada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Propuesta de interpretación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Consecuencia si no se aclara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Técnica</w:t>
            </w:r>
          </w:p>
        </w:tc>
        <w:tc>
          <w:tcPr>
            <w:tcW w:type="dxa" w:w="1440"/>
          </w:tcPr>
          <w:p>
            <w:r>
              <w:t>Caso 09, sección de indicadores (7.1) y narrativa de merma</w:t>
            </w:r>
          </w:p>
        </w:tc>
        <w:tc>
          <w:tcPr>
            <w:tcW w:type="dxa" w:w="1440"/>
          </w:tcPr>
          <w:p>
            <w:r>
              <w:t>La merma se cuantifica simultáneamente como «1,9 % de la venta» y «$ 7.800 millones al año». Con ingresos consolidados de $ 474.000 millones, el 1,9 % equivale a $ 9.006 millones y no a $ 7.800 millones. No es posible que ambas cifras sean ciertas.</w:t>
            </w:r>
          </w:p>
        </w:tc>
        <w:tc>
          <w:tcPr>
            <w:tcW w:type="dxa" w:w="1440"/>
          </w:tcPr>
          <w:p>
            <w:r>
              <w:t>Se solicita precisar el monto y el porcentaje correctos de la merma para dimensionar y presupuestar. Ante la duda, se interpreta la referencia porcentual (1,9 % sobre $ 474.000 M = $ 9.006 M) como la canónica.</w:t>
            </w:r>
          </w:p>
        </w:tc>
        <w:tc>
          <w:tcPr>
            <w:tcW w:type="dxa" w:w="1440"/>
          </w:tcPr>
          <w:p>
            <w:r>
              <w:t>Incertidumbre en el dimensionamiento y la oferta económica de la pérdida de merma (magnitud errónea). Riesgo de que la propuesta se declare subestimada o sobreestimada y pierda puntos en la coherencia del modelo financiero.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Técnica</w:t>
            </w:r>
          </w:p>
        </w:tc>
        <w:tc>
          <w:tcPr>
            <w:tcW w:type="dxa" w:w="1440"/>
          </w:tcPr>
          <w:p>
            <w:r>
              <w:t>Caso 09, tabla 7.1 (inventario y cumplimiento)</w:t>
            </w:r>
          </w:p>
        </w:tc>
        <w:tc>
          <w:tcPr>
            <w:tcW w:type="dxa" w:w="1440"/>
          </w:tcPr>
          <w:p>
            <w:r>
              <w:t>La tabla 7.1 registra «19%» de pedidos en línea cancelados por falta de existencia para 2025, mientras el texto y el criterio de aceptación citan «1,9 %». Falta la coma decimal.</w:t>
            </w:r>
          </w:p>
        </w:tc>
        <w:tc>
          <w:tcPr>
            <w:tcW w:type="dxa" w:w="1440"/>
          </w:tcPr>
          <w:p>
            <w:r>
              <w:t>Se interpreta que la cancelación anual es de 1,9 % (y no 19 %) para 2025, y se solicita confirmación.</w:t>
            </w:r>
          </w:p>
        </w:tc>
        <w:tc>
          <w:tcPr>
            <w:tcW w:type="dxa" w:w="1440"/>
          </w:tcPr>
          <w:p>
            <w:r>
              <w:t>La discrepancia entre 19% y 1,9% afecta la meta de promesa de entrega y la tasa de cancelación objetivo; sin aclarar, se presupuesta en base a un indicador equivocado y se compromete un SLA que no corresponde a la realidad.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Técnica</w:t>
            </w:r>
          </w:p>
        </w:tc>
        <w:tc>
          <w:tcPr>
            <w:tcW w:type="dxa" w:w="1440"/>
          </w:tcPr>
          <w:p>
            <w:r>
              <w:t>Caso 09, entrevista del consumidor (garantía / devolución)</w:t>
            </w:r>
          </w:p>
        </w:tc>
        <w:tc>
          <w:tcPr>
            <w:tcW w:type="dxa" w:w="1440"/>
          </w:tcPr>
          <w:p>
            <w:r>
              <w:t>En la misma entrevista el cliente dice «Llamé cuatro veces» y luego «en ninguna de las cinco veces que hablé con ellos». El criterio de aceptación 26 la cita con «cinco conversaciones». No queda claro el número real de contactos.</w:t>
            </w:r>
          </w:p>
        </w:tc>
        <w:tc>
          <w:tcPr>
            <w:tcW w:type="dxa" w:w="1440"/>
          </w:tcPr>
          <w:p>
            <w:r>
              <w:t>Se solicita aclarar si el episodio implica cuatro o cinco intentos de contacto, para la trazabilidad del criterio de satisfacción.</w:t>
            </w:r>
          </w:p>
        </w:tc>
        <w:tc>
          <w:tcPr>
            <w:tcW w:type="dxa" w:w="1440"/>
          </w:tcPr>
          <w:p>
            <w:r>
              <w:t>Al ser un criterio de aceptación, la ambigüedad en el número de contactos impide definir un indicador verificable de satisfacción y un proceso de escalamiento claro.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Técnica</w:t>
            </w:r>
          </w:p>
        </w:tc>
        <w:tc>
          <w:tcPr>
            <w:tcW w:type="dxa" w:w="1440"/>
          </w:tcPr>
          <w:p>
            <w:r>
              <w:t>Caso 09, antigüedad de las plataformas</w:t>
            </w:r>
          </w:p>
        </w:tc>
        <w:tc>
          <w:tcPr>
            <w:tcW w:type="dxa" w:w="1440"/>
          </w:tcPr>
          <w:p>
            <w:r>
              <w:t>La narrativa describe «nueve plataformas de seis proveedores y quince años», mientras que la tabla 7.4 indica «con hasta 17 años de antigüedad». Si el sistema central data de 2009, en 2026 tiene 17 años.</w:t>
            </w:r>
          </w:p>
        </w:tc>
        <w:tc>
          <w:tcPr>
            <w:tcW w:type="dxa" w:w="1440"/>
          </w:tcPr>
          <w:p>
            <w:r>
              <w:t>Se solicita confirmar la antigüedad efectiva de las plataformas para dimensionar la deuda técnica y el plan de renovación.</w:t>
            </w:r>
          </w:p>
        </w:tc>
        <w:tc>
          <w:tcPr>
            <w:tcW w:type="dxa" w:w="1440"/>
          </w:tcPr>
          <w:p>
            <w:r>
              <w:t>Sin una antigüedad única no es posible dimensionar correctamente la deuda técnica, el plan de obsolescencia ni la priorización de renovación de plataformas.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Administrativa</w:t>
            </w:r>
          </w:p>
        </w:tc>
        <w:tc>
          <w:tcPr>
            <w:tcW w:type="dxa" w:w="1440"/>
          </w:tcPr>
          <w:p>
            <w:r>
              <w:t>Caso 09, numeral 13.3 (plan de trabajo)</w:t>
            </w:r>
          </w:p>
        </w:tc>
        <w:tc>
          <w:tcPr>
            <w:tcW w:type="dxa" w:w="1440"/>
          </w:tcPr>
          <w:p>
            <w:r>
              <w:t>Se referencia «las ventanas de congelamiento del numeral 132», sin el punto decimal. Debe ser «numeral 13.2 (Hitos externos)».</w:t>
            </w:r>
          </w:p>
        </w:tc>
        <w:tc>
          <w:tcPr>
            <w:tcW w:type="dxa" w:w="1440"/>
          </w:tcPr>
          <w:p>
            <w:r>
              <w:t>Confirmar que se refiere al numeral 13.2 (Hitos externos) para la trazabilidad del plan.</w:t>
            </w:r>
          </w:p>
        </w:tc>
        <w:tc>
          <w:tcPr>
            <w:tcW w:type="dxa" w:w="1440"/>
          </w:tcPr>
          <w:p>
            <w:r>
              <w:t>La referencia rota impide la trazabilidad del plan de trabajo respecto de las ventanas de congelamiento y genera incertidumbre en la programación de los hitos.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Técnica</w:t>
            </w:r>
          </w:p>
        </w:tc>
        <w:tc>
          <w:tcPr>
            <w:tcW w:type="dxa" w:w="1440"/>
          </w:tcPr>
          <w:p>
            <w:r>
              <w:t>Caso 09, tabla 7.1 (celdas corruptas)</w:t>
            </w:r>
          </w:p>
        </w:tc>
        <w:tc>
          <w:tcPr>
            <w:tcW w:type="dxa" w:w="1440"/>
          </w:tcPr>
          <w:p>
            <w:r>
              <w:t>Varias celdas de la tabla 7.1 están ilegibles: «Pp roporción ión de le la merma que es error de registro ist y no pérdida física», «dla equivalentes i a l 2,7%», «Reclamos formales derivados. de esas cancelaciones». Además, 2,7 % de 104.000 pedidos = 2.808, distinto de los 2.840 declarados.</w:t>
            </w:r>
          </w:p>
        </w:tc>
        <w:tc>
          <w:tcPr>
            <w:tcW w:type="dxa" w:w="1440"/>
          </w:tcPr>
          <w:p>
            <w:r>
              <w:t>Se solicita el texto y los valores correctos de estas celdas para sustentar los indicadores.</w:t>
            </w:r>
          </w:p>
        </w:tc>
        <w:tc>
          <w:tcPr>
            <w:tcW w:type="dxa" w:w="1440"/>
          </w:tcPr>
          <w:p>
            <w:r>
              <w:t>Los indicadores corruptos no pueden sustentar metas verificables; la propuesta no podría demostrar cumplimiento ni medir el desempeño comprometido.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Técnica</w:t>
            </w:r>
          </w:p>
        </w:tc>
        <w:tc>
          <w:tcPr>
            <w:tcW w:type="dxa" w:w="1440"/>
          </w:tcPr>
          <w:p>
            <w:r>
              <w:t>Caso 09, retención de grabaciones (tabla 7.5)</w:t>
            </w:r>
          </w:p>
        </w:tc>
        <w:tc>
          <w:tcPr>
            <w:tcW w:type="dxa" w:w="1440"/>
          </w:tcPr>
          <w:p>
            <w:r>
              <w:t>La celda de «Plazo de conservación de las grabaciones de originación y repactación» contiene el valor corrupto «emelen». El texto documenta que «las grabaciones se conservan noventa días», no «emelen».</w:t>
            </w:r>
          </w:p>
        </w:tc>
        <w:tc>
          <w:tcPr>
            <w:tcW w:type="dxa" w:w="1440"/>
          </w:tcPr>
          <w:p>
            <w:r>
              <w:t>Se solicita aclarar el plazo vigente de conservación de las grabaciones (90 días) y el objetivo (plazo del crédito + 6 años).</w:t>
            </w:r>
          </w:p>
        </w:tc>
        <w:tc>
          <w:tcPr>
            <w:tcW w:type="dxa" w:w="1440"/>
          </w:tcPr>
          <w:p>
            <w:r>
              <w:t>Sin un plazo de retención claro no se puede definir la estrategia de almacenamiento ni demostrar cumplimiento normativo de la trazabilidad del consentimiento del crédito.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Técnica</w:t>
            </w:r>
          </w:p>
        </w:tc>
        <w:tc>
          <w:tcPr>
            <w:tcW w:type="dxa" w:w="1440"/>
          </w:tcPr>
          <w:p>
            <w:r>
              <w:t>Caso 09, tabla 7.4 (dotaciones y erratas)</w:t>
            </w:r>
          </w:p>
        </w:tc>
        <w:tc>
          <w:tcPr>
            <w:tcW w:type="dxa" w:w="1440"/>
          </w:tcPr>
          <w:p>
            <w:r>
              <w:t>La tabla 7.4 presenta erratas: «antigúedad» (tilde errónea), «Repositores E externos de proveedores y que trabajan y en sala | ≈ 1,100 ... OS» (palabras duplicadas y caracteres sueltos), y formato numérico «1,100» inconsistente con «1.100» del resto del documento.</w:t>
            </w:r>
          </w:p>
        </w:tc>
        <w:tc>
          <w:tcPr>
            <w:tcW w:type="dxa" w:w="1440"/>
          </w:tcPr>
          <w:p>
            <w:r>
              <w:t>Se solicita confirmar la cifra y el formato correctos de los repositores externos (≈1.100).</w:t>
            </w:r>
          </w:p>
        </w:tc>
        <w:tc>
          <w:tcPr>
            <w:tcW w:type="dxa" w:w="1440"/>
          </w:tcPr>
          <w:p>
            <w:r>
              <w:t>La cifra errónea de repositores externos afecta el dimensionamiento de accesos, licencias y la estrategia de capacitación para personal sin vínculo laboral.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Administrativa</w:t>
            </w:r>
          </w:p>
        </w:tc>
        <w:tc>
          <w:tcPr>
            <w:tcW w:type="dxa" w:w="1440"/>
          </w:tcPr>
          <w:p>
            <w:r>
              <w:t>Caso 09, erratas de redacción</w:t>
            </w:r>
          </w:p>
        </w:tc>
        <w:tc>
          <w:tcPr>
            <w:tcW w:type="dxa" w:w="1440"/>
          </w:tcPr>
          <w:p>
            <w:r>
              <w:t>Se identifican múltiples erratas que afectan la lectura: «Tienda más LE pequeña», «El lan de trabajo», «del retail y y los de la filial emisora está.», «responder nia favor ni en contra», «el último ds hito en 2029», entre otras; además de una cabecera institucional duplicada que rompe la numeración de una lista del numeral 17.4 (salta de ítem 2 a ítem 10).</w:t>
            </w:r>
          </w:p>
        </w:tc>
        <w:tc>
          <w:tcPr>
            <w:tcW w:type="dxa" w:w="1440"/>
          </w:tcPr>
          <w:p>
            <w:r>
              <w:t>Se solicita una versión corregida de las secciones afectadas para evitar interpretaciones divergentes.</w:t>
            </w:r>
          </w:p>
        </w:tc>
        <w:tc>
          <w:tcPr>
            <w:tcW w:type="dxa" w:w="1440"/>
          </w:tcPr>
          <w:p>
            <w:r>
              <w:t>Las erratas en secciones rectoras (numeración rota, cabeceras duplicadas) generan interpretaciones divergentes y riesgo de observación por incoherencia en la oferta.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Técnica</w:t>
            </w:r>
          </w:p>
        </w:tc>
        <w:tc>
          <w:tcPr>
            <w:tcW w:type="dxa" w:w="1440"/>
          </w:tcPr>
          <w:p>
            <w:r>
              <w:t>Caso 09, discrepancia de inventario (entrevista vs dato)</w:t>
            </w:r>
          </w:p>
        </w:tc>
        <w:tc>
          <w:tcPr>
            <w:tcW w:type="dxa" w:w="1440"/>
          </w:tcPr>
          <w:p>
            <w:r>
              <w:t>Una entrevista cita «el registro está malo en doce por ciento», mientras el dato canónico del documento es «doce coma cuatro por ciento (12,4 %)».</w:t>
            </w:r>
          </w:p>
        </w:tc>
        <w:tc>
          <w:tcPr>
            <w:tcW w:type="dxa" w:w="1440"/>
          </w:tcPr>
          <w:p>
            <w:r>
              <w:t>Confirmar que la discrepancia de inventario utilizada en el dimensionamiento es 12,4 %.</w:t>
            </w:r>
          </w:p>
        </w:tc>
        <w:tc>
          <w:tcPr>
            <w:tcW w:type="dxa" w:w="1440"/>
          </w:tcPr>
          <w:p>
            <w:r>
              <w:t>La base del dimensionamiento de inventario (12,4%) queda en duda, afectando directamente el diseño de la precisión de inventario y las metas de conteo cíclico.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Técnica</w:t>
            </w:r>
          </w:p>
        </w:tc>
        <w:tc>
          <w:tcPr>
            <w:tcW w:type="dxa" w:w="1440"/>
          </w:tcPr>
          <w:p>
            <w:r>
              <w:t>Bases Transversales RT-21.06 / RT-21.07 vs Caso 09</w:t>
            </w:r>
          </w:p>
        </w:tc>
        <w:tc>
          <w:tcPr>
            <w:tcW w:type="dxa" w:w="1440"/>
          </w:tcPr>
          <w:p>
            <w:r>
              <w:t>En el transversal, RT-21.06 corresponde al SLA del centro de atención (80 % antes de 20 s, resolución al primer contacto ≥70 %, abandono ≤5 %) y RT-21.07 al horario. El Caso 09 asigna a RT-21.06 el «horario del centro de atención» (09:00-23:00 y 24x7x365). El caso no responde el SLA real de RT-21.06 ni usa RT-21.07.</w:t>
            </w:r>
          </w:p>
        </w:tc>
        <w:tc>
          <w:tcPr>
            <w:tcW w:type="dxa" w:w="1440"/>
          </w:tcPr>
          <w:p>
            <w:r>
              <w:t>Se solicita el mapeo correcto: SLA en RT-21.06 y horario en RT-21.07, con la cobertura reforzada del caso como endurecimiento.</w:t>
            </w:r>
          </w:p>
        </w:tc>
        <w:tc>
          <w:tcPr>
            <w:tcW w:type="dxa" w:w="1440"/>
          </w:tcPr>
          <w:p>
            <w:r>
              <w:t>Sin el mapeo correcto del SLA de atención y su horario, el formulario T-12 no puede responder el requisito Obligatorio y se pierde trazabilidad y puntaje.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Técnica</w:t>
            </w:r>
          </w:p>
        </w:tc>
        <w:tc>
          <w:tcPr>
            <w:tcW w:type="dxa" w:w="1440"/>
          </w:tcPr>
          <w:p>
            <w:r>
              <w:t>Bases Transversales RT-06.01 vs Caso 09</w:t>
            </w:r>
          </w:p>
        </w:tc>
        <w:tc>
          <w:tcPr>
            <w:tcW w:type="dxa" w:w="1440"/>
          </w:tcPr>
          <w:p>
            <w:r>
              <w:t>El transversal define RT-06.01 como el espacio «de uso exclusivo... aislado de otras dependencias, con acceso independiente». El Caso 09 usa el mismo código para la «Tipología del emplazamiento on-premise» (centro de datos propio de 140 m², sala de respaldo, gabinete por tienda).</w:t>
            </w:r>
          </w:p>
        </w:tc>
        <w:tc>
          <w:tcPr>
            <w:tcW w:type="dxa" w:w="1440"/>
          </w:tcPr>
          <w:p>
            <w:r>
              <w:t>Confirmar la relación entre ambos contenidos y que el requisito de espacio exclusivo/aislado del transversal sigue vigente para el emplazamiento.</w:t>
            </w:r>
          </w:p>
        </w:tc>
        <w:tc>
          <w:tcPr>
            <w:tcW w:type="dxa" w:w="1440"/>
          </w:tcPr>
          <w:p>
            <w:r>
              <w:t>La doble lectura de RT-06.01 deja sin resolver el requisito de espacio exclusivo/aislado, comprometiendo la justificación del emplazamiento on-premise (Art. 16).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Técnica</w:t>
            </w:r>
          </w:p>
        </w:tc>
        <w:tc>
          <w:tcPr>
            <w:tcW w:type="dxa" w:w="1440"/>
          </w:tcPr>
          <w:p>
            <w:r>
              <w:t>Bases Transversales RT-03.10 vs Caso 09 (regla de precedencia)</w:t>
            </w:r>
          </w:p>
        </w:tc>
        <w:tc>
          <w:tcPr>
            <w:tcW w:type="dxa" w:w="1440"/>
          </w:tcPr>
          <w:p>
            <w:r>
              <w:t>El transversal exige (obligatorio) un mínimo de «24 horas continuas» de operación autónoma on-premise ante pérdida del enlace. El Caso 09 lo reduce a «8 horas» (tienda) y «4 horas» (centro de distribución), lo que rebaja un mínimo obligatorio, en contradicción con la regla de precedencia (el caso sólo puede endurecer).</w:t>
            </w:r>
          </w:p>
        </w:tc>
        <w:tc>
          <w:tcPr>
            <w:tcW w:type="dxa" w:w="1440"/>
          </w:tcPr>
          <w:p>
            <w:r>
              <w:t>Confirmar que rige el piso de 24 horas del transversal y que el caso no puede reducirlo; se propondrá cumplir 24 h.</w:t>
            </w:r>
          </w:p>
        </w:tc>
        <w:tc>
          <w:tcPr>
            <w:tcW w:type="dxa" w:w="1440"/>
          </w:tcPr>
          <w:p>
            <w:r>
              <w:t>De regir la rebaja a 8/4 horas se incumpliría el piso obligatorio de 24 horas y la propuesta sería inconsistente con el Art. 16 y la precedencia del Art. 5°. Riesgo de observación grave.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Técnica</w:t>
            </w:r>
          </w:p>
        </w:tc>
        <w:tc>
          <w:tcPr>
            <w:tcW w:type="dxa" w:w="1440"/>
          </w:tcPr>
          <w:p>
            <w:r>
              <w:t xml:space="preserve">Bases Transversales vs Caso 09, marco de la tabla </w:t>
            </w:r>
          </w:p>
        </w:tc>
        <w:tc>
          <w:tcPr>
            <w:tcW w:type="dxa" w:w="1440"/>
          </w:tcPr>
          <w:p>
            <w:r>
              <w:t>El Caso 09 declara que su tabla cubre los requisitos «Según caso» del transversal, pero fija valores para códigos que el transversal marca Obligatorio (RT-03.10, RT-06.01, RT-09.01, RT-16.21, RT-16.30, RT-21.06) o Deseable (RT-03.24, RT-05.10, RT-13.12, RT-16.14).</w:t>
            </w:r>
          </w:p>
        </w:tc>
        <w:tc>
          <w:tcPr>
            <w:tcW w:type="dxa" w:w="1440"/>
          </w:tcPr>
          <w:p>
            <w:r>
              <w:t>Confirmar el alcance: ¿qué código RT de la tabla es realmente «Según caso» y cuál queda regido por el transversal Obligatorio?</w:t>
            </w:r>
          </w:p>
        </w:tc>
        <w:tc>
          <w:tcPr>
            <w:tcW w:type="dxa" w:w="1440"/>
          </w:tcPr>
          <w:p>
            <w:r>
              <w:t>No saber qué códigos son «Según caso» impide completar correctamente el T-12 y puede llevar a proponer un alcance que no cubre requisitos Obligatorios del transversal.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Técnica</w:t>
            </w:r>
          </w:p>
        </w:tc>
        <w:tc>
          <w:tcPr>
            <w:tcW w:type="dxa" w:w="1440"/>
          </w:tcPr>
          <w:p>
            <w:r>
              <w:t>Bases Transversales RT-03.24 / 05.10 / 09.01 / 15.02 / 13.12 / 16.x / 10.05 / 05.15 vs Caso 09</w:t>
            </w:r>
          </w:p>
        </w:tc>
        <w:tc>
          <w:tcPr>
            <w:tcW w:type="dxa" w:w="1440"/>
          </w:tcPr>
          <w:p>
            <w:r>
              <w:t>Varios códigos RT del Caso 09 portan contenidos que no corresponden a su definición en el transversal (p. ej. RT-03.24 QoS vs segregación de redes; RT-05.10 catálogo de datos vs retención; RT-09.01 cálculo de capacidad vs umbrales de transacción; RT-15.02 ambientes vs certificaciones; RT-16.14/16.21/16.30, RT-10.05, RT-05.15). Los requisitos originales del transversal quedan sin respuesta bajo su código.</w:t>
            </w:r>
          </w:p>
        </w:tc>
        <w:tc>
          <w:tcPr>
            <w:tcW w:type="dxa" w:w="1440"/>
          </w:tcPr>
          <w:p>
            <w:r>
              <w:t>Se solicita el mapeo correcto de códigos RT para responder el formulario T-12 uno a uno sin perder trazabilidad.</w:t>
            </w:r>
          </w:p>
        </w:tc>
        <w:tc>
          <w:tcPr>
            <w:tcW w:type="dxa" w:w="1440"/>
          </w:tcPr>
          <w:p>
            <w:r>
              <w:t>Los códigos RT desplazados dejan sin respuesta requisitos Obligatorios/Deseables del transversal; riesgo de pérdida de puntaje por no trazabilidad uno a uno en el T-12.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Administrativa</w:t>
            </w:r>
          </w:p>
        </w:tc>
        <w:tc>
          <w:tcPr>
            <w:tcW w:type="dxa" w:w="1440"/>
          </w:tcPr>
          <w:p>
            <w:r>
              <w:t>Bases Administrativas, Art. 3 (definición de Etapa 2)</w:t>
            </w:r>
          </w:p>
        </w:tc>
        <w:tc>
          <w:tcPr>
            <w:tcW w:type="dxa" w:w="1440"/>
          </w:tcPr>
          <w:p>
            <w:r>
              <w:t>La definición de ETAPA 2 dice que su desarrollo se ejecuta «entre el mes 13 y el mes 13 inclusive». El cronograma obligatorio del Art. 17 ubica el desarrollo de la Etapa 2 entre los meses 13 y 18 (marcha blanca 19-20, producción micro 21).</w:t>
            </w:r>
          </w:p>
        </w:tc>
        <w:tc>
          <w:tcPr>
            <w:tcW w:type="dxa" w:w="1440"/>
          </w:tcPr>
          <w:p>
            <w:r>
              <w:t>Interpretamos que la Etapa 2 se desarrolla entre los meses 13 y 18 y alcanza producción en el mes 21, conforme al Art. 17.</w:t>
            </w:r>
          </w:p>
        </w:tc>
        <w:tc>
          <w:tcPr>
            <w:tcW w:type="dxa" w:w="1440"/>
          </w:tcPr>
          <w:p>
            <w:r>
              <w:t>La definición errónea de Etapa 2 afecta el cronograma, la EDT y la distribución de la oferta económica; riesgo de inconsistencia con el Art. 17 y de descalificación.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Administrativa</w:t>
            </w:r>
          </w:p>
        </w:tc>
        <w:tc>
          <w:tcPr>
            <w:tcW w:type="dxa" w:w="1440"/>
          </w:tcPr>
          <w:p>
            <w:r>
              <w:t>Bases Administrativas, Art. 20 y Art. 78.2 (disponibilidad)</w:t>
            </w:r>
          </w:p>
        </w:tc>
        <w:tc>
          <w:tcPr>
            <w:tcW w:type="dxa" w:w="1440"/>
          </w:tcPr>
          <w:p>
            <w:r>
              <w:t>El Art. 20 exige 99,9 % de disponibilidad mensual para servicios críticos, mientras la tabla del Art. 78.2 fija 99,7 % en el nivel de severidad «Crítica». El transversal cita además el «Artículo 78°» como soporte del 99,9 %.</w:t>
            </w:r>
          </w:p>
        </w:tc>
        <w:tc>
          <w:tcPr>
            <w:tcW w:type="dxa" w:w="1440"/>
          </w:tcPr>
          <w:p>
            <w:r>
              <w:t>Confirmar el nivel de disponibilidad comprometido para los servicios críticos (99,9 % o 99,7 %). Se interpreta 99,9 % sobre la transacción de extremo a extremo.</w:t>
            </w:r>
          </w:p>
        </w:tc>
        <w:tc>
          <w:tcPr>
            <w:tcW w:type="dxa" w:w="1440"/>
          </w:tcPr>
          <w:p>
            <w:r>
              <w:t>La discrepancia 99,9%/99,7% incide directamente en multas y penalidades de Operación y en el compromiso de SLO; hay que fijar el valor para la oferta y el plan de continuidad.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Administrativa</w:t>
            </w:r>
          </w:p>
        </w:tc>
        <w:tc>
          <w:tcPr>
            <w:tcW w:type="dxa" w:w="1440"/>
          </w:tcPr>
          <w:p>
            <w:r>
              <w:t>Bases Administrativas, Formularios T-7 y T-21</w:t>
            </w:r>
          </w:p>
        </w:tc>
        <w:tc>
          <w:tcPr>
            <w:tcW w:type="dxa" w:w="1440"/>
          </w:tcPr>
          <w:p>
            <w:r>
              <w:t>El Formulario T-7 estructura la oferta en «catorce subdocumentos», pero el T-21 añade el ítem «Transversal» (4%/3%/2%) que no es uno de ellos. Además, la suma de las ponderaciones de la primera columna supera el 100 % declarado.</w:t>
            </w:r>
          </w:p>
        </w:tc>
        <w:tc>
          <w:tcPr>
            <w:tcW w:type="dxa" w:w="1440"/>
          </w:tcPr>
          <w:p>
            <w:r>
              <w:t>Confirmar la composición de la oferta (14 subdocumentos + ítem Transversal) y la ponderación total correcta que suma 100 %.</w:t>
            </w:r>
          </w:p>
        </w:tc>
        <w:tc>
          <w:tcPr>
            <w:tcW w:type="dxa" w:w="1440"/>
          </w:tcPr>
          <w:p>
            <w:r>
              <w:t>La suma de ponderaciones (≈163%) y el ítem extra «Transversal» hacen imposible estructurar correctamente los sobres y anticipar el puntaje; riesgo de error de foliación y evaluación.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Administrativa</w:t>
            </w:r>
          </w:p>
        </w:tc>
        <w:tc>
          <w:tcPr>
            <w:tcW w:type="dxa" w:w="1440"/>
          </w:tcPr>
          <w:p>
            <w:r>
              <w:t>Bases Administrativas, Art. 65 (escala académica)</w:t>
            </w:r>
          </w:p>
        </w:tc>
        <w:tc>
          <w:tcPr>
            <w:tcW w:type="dxa" w:w="1440"/>
          </w:tcPr>
          <w:p>
            <w:r>
              <w:t>La escala del Art. 65 define Tercer, Cuarto y Quinto lugar (e inferiores) con exactamente la misma condición («puntaje final ≥60 % y cada ítem &gt;30 %»), con notas 5,5 / 4,5 / 4,0. Sin criterio diferenciador es imposible asignar el tramo.</w:t>
            </w:r>
          </w:p>
        </w:tc>
        <w:tc>
          <w:tcPr>
            <w:tcW w:type="dxa" w:w="1440"/>
          </w:tcPr>
          <w:p>
            <w:r>
              <w:t>Solicitar el criterio discriminante entre Tercer, Cuarto y Quinto lugar, y la notación correcta de las notas (4,5 y 4,0).</w:t>
            </w:r>
          </w:p>
        </w:tc>
        <w:tc>
          <w:tcPr>
            <w:tcW w:type="dxa" w:w="1440"/>
          </w:tcPr>
          <w:p>
            <w:r>
              <w:t>La escala académica ambigua impide prever la calificación y puede llevar a una oferta sobreesforzada; además, la nota errónea de decimales afecta la evaluación.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Administrativa</w:t>
            </w:r>
          </w:p>
        </w:tc>
        <w:tc>
          <w:tcPr>
            <w:tcW w:type="dxa" w:w="1440"/>
          </w:tcPr>
          <w:p>
            <w:r>
              <w:t>Bases Administrativas, erratas de redacción (Art. 43.4, severidad, E-25, E-26, Sobre, Índice)</w:t>
            </w:r>
          </w:p>
        </w:tc>
        <w:tc>
          <w:tcPr>
            <w:tcW w:type="dxa" w:w="1440"/>
          </w:tcPr>
          <w:p>
            <w:r>
              <w:t>Se identifican erratas que afectan la lectura de varios formularios: «Fl CLIENTE» (Art. 43.4), «Ale/Medi/Baja» (severidad), «pS aa» (cobertura), hito H1 «89 %» en el E-25 (el subtotal de la Etapa 1 suma 52 % y no 60 %), «1,5=28 UF», «MOSTSUE», «0,5-—0,8» en el E-26, notación del Sobre (N*1 vs N°) e Índice de contenidos corrupto.</w:t>
            </w:r>
          </w:p>
        </w:tc>
        <w:tc>
          <w:tcPr>
            <w:tcW w:type="dxa" w:w="1440"/>
          </w:tcPr>
          <w:p>
            <w:r>
              <w:t>Solicitar las versiones corregidas de los formularios E-25 y E-26 y de la notación de sobres para preparar la oferta económica sin error.</w:t>
            </w:r>
          </w:p>
        </w:tc>
        <w:tc>
          <w:tcPr>
            <w:tcW w:type="dxa" w:w="1440"/>
          </w:tcPr>
          <w:p>
            <w:r>
              <w:t>Los formularios E-25/E-26 corruptos provocan error en la oferta económica (hitos de pago que no suman 100% y tarifas ilegibles), con riesgo de inadmisibilidad e inconsistencias entre ítems.</w:t>
            </w:r>
          </w:p>
        </w:tc>
      </w:tr>
    </w:tbl>
    <w:p>
      <w:r>
        <w:br w:type="page"/>
      </w:r>
    </w:p>
    <w:p>
      <w:pPr>
        <w:pStyle w:val="Heading1"/>
      </w:pPr>
      <w:r>
        <w:t>PARTE II — Fundamento, origen y consecuencia de cada consulta</w:t>
      </w:r>
    </w:p>
    <w:p>
      <w:r>
        <w:t>Esta sección detalla, por separado, la cita textual, la ubicación (documento y línea), la justificación de la inconsistencia y la consecuencia esperada si no se aclara, de cada consulta de la Parte I.</w:t>
      </w:r>
    </w:p>
    <w:p>
      <w:r>
        <w:rPr>
          <w:b/>
        </w:rPr>
        <w:t>Consulta 1 — Técnica — Caso 09, sección de indicadores (7.1) y narrativa de merma</w:t>
      </w:r>
    </w:p>
    <w:p>
      <w:r>
        <w:t>Cita textual: «Merma o pérdida desconocida | 1,9 % de la venta, equivalente a $ 7.800 millones al año» (numeral 7.1) y «un uno coma nueve por ciento de la venta, siete mil ochocientos millones de pesos al año» (entrevista). Ingresos consolidados: «$ 474.000 millones» (sección datos generales). Cálculo: 0,019 x 474.000 = 9.006 M, no 7.800 M (7.800/474.000 = 1,65 %). La cifra se repite en al menos 5 lugares (7.1, merma, prevención de pérdidas, decisiones, criterios).</w:t>
      </w:r>
    </w:p>
    <w:p>
      <w:r>
        <w:rPr>
          <w:b/>
        </w:rPr>
        <w:t xml:space="preserve">Consecuencia si no se aclara: </w:t>
      </w:r>
      <w:r>
        <w:t>Incertidumbre en el dimensionamiento y la oferta económica de la pérdida de merma (magnitud errónea). Riesgo de que la propuesta se declare subestimada o sobreestimada y pierda puntos en la coherencia del modelo financiero.</w:t>
      </w:r>
    </w:p>
    <w:p>
      <w:r>
        <w:rPr>
          <w:b/>
        </w:rPr>
        <w:t>Consulta 2 — Técnica — Caso 09, tabla 7.1 (inventario y cumplimiento)</w:t>
      </w:r>
    </w:p>
    <w:p>
      <w:r>
        <w:t>Cita textual: «Pedidos en línea cancelados por falta de existencia, año 2025 | 19%» (tabla 7.1). En el texto: «El uno coma nueve por ciento de los pedidos en línea del año se canceló por falta de existencia» y en el criterio de aceptación «1,9 % en el año». Errata por omisión de la coma decimal.</w:t>
      </w:r>
    </w:p>
    <w:p>
      <w:r>
        <w:rPr>
          <w:b/>
        </w:rPr>
        <w:t xml:space="preserve">Consecuencia si no se aclara: </w:t>
      </w:r>
      <w:r>
        <w:t>La discrepancia entre 19% y 1,9% afecta la meta de promesa de entrega y la tasa de cancelación objetivo; sin aclarar, se presupuesta en base a un indicador equivocado y se compromete un SLA que no corresponde a la realidad.</w:t>
      </w:r>
    </w:p>
    <w:p>
      <w:r>
        <w:rPr>
          <w:b/>
        </w:rPr>
        <w:t>Consulta 3 — Técnica — Caso 09, entrevista del consumidor (garantía / devolución)</w:t>
      </w:r>
    </w:p>
    <w:p>
      <w:r>
        <w:t>Cita textual: «Llamé cuatro veces.» y «en ninguna de las cinco veces que hablé con ellos», y el criterio 26 «sin llamar cinco veces» / «Cinco conversaciones». Contradicción de conteo dentro de la misma narrativa.</w:t>
      </w:r>
    </w:p>
    <w:p>
      <w:r>
        <w:rPr>
          <w:b/>
        </w:rPr>
        <w:t xml:space="preserve">Consecuencia si no se aclara: </w:t>
      </w:r>
      <w:r>
        <w:t>Al ser un criterio de aceptación, la ambigüedad en el número de contactos impide definir un indicador verificable de satisfacción y un proceso de escalamiento claro.</w:t>
      </w:r>
    </w:p>
    <w:p>
      <w:r>
        <w:rPr>
          <w:b/>
        </w:rPr>
        <w:t>Consulta 4 — Técnica — Caso 09, antigüedad de las plataformas</w:t>
      </w:r>
    </w:p>
    <w:p>
      <w:r>
        <w:t>Cita textual: «nueve plataformas de seis proveedores y quince años» (múltiples secciones) frente a «9, de 6 proveedores, con hasta 17 años de antigüedad» (tabla 7.4). Sistema central en operación desde 2009.</w:t>
      </w:r>
    </w:p>
    <w:p>
      <w:r>
        <w:rPr>
          <w:b/>
        </w:rPr>
        <w:t xml:space="preserve">Consecuencia si no se aclara: </w:t>
      </w:r>
      <w:r>
        <w:t>Sin una antigüedad única no es posible dimensionar correctamente la deuda técnica, el plan de obsolescencia ni la priorización de renovación de plataformas.</w:t>
      </w:r>
    </w:p>
    <w:p>
      <w:r>
        <w:rPr>
          <w:b/>
        </w:rPr>
        <w:t>Consulta 5 — Administrativa — Caso 09, numeral 13.3 (plan de trabajo)</w:t>
      </w:r>
    </w:p>
    <w:p>
      <w:r>
        <w:t>Cita textual: «a producción no puede ocurrir dentro de ninguna de las ventanas de congelamiento del numeral 132». Errata de numeración (falta el punto decimal).</w:t>
      </w:r>
    </w:p>
    <w:p>
      <w:r>
        <w:rPr>
          <w:b/>
        </w:rPr>
        <w:t xml:space="preserve">Consecuencia si no se aclara: </w:t>
      </w:r>
      <w:r>
        <w:t>La referencia rota impide la trazabilidad del plan de trabajo respecto de las ventanas de congelamiento y genera incertidumbre en la programación de los hitos.</w:t>
      </w:r>
    </w:p>
    <w:p>
      <w:r>
        <w:rPr>
          <w:b/>
        </w:rPr>
        <w:t>Consulta 6 — Técnica — Caso 09, tabla 7.1 (celdas corruptas)</w:t>
      </w:r>
    </w:p>
    <w:p>
      <w:r>
        <w:t>Citas textuales (tabla 7.1): «Pp roporción ión de le la merma que es error de registro ist y no pérdida física», «Pedidos cancelados en el evento de junio de 2026 | dla equivalentes i a l 2,7%», «Reclamos formales derivados. de esas cancelaciones». Cálculo de contraste: 0,027 x 104.000 = 2.808, no 2.840.</w:t>
      </w:r>
    </w:p>
    <w:p>
      <w:r>
        <w:rPr>
          <w:b/>
        </w:rPr>
        <w:t xml:space="preserve">Consecuencia si no se aclara: </w:t>
      </w:r>
      <w:r>
        <w:t>Los indicadores corruptos no pueden sustentar metas verificables; la propuesta no podría demostrar cumplimiento ni medir el desempeño comprometido.</w:t>
      </w:r>
    </w:p>
    <w:p>
      <w:r>
        <w:rPr>
          <w:b/>
        </w:rPr>
        <w:t>Consulta 7 — Técnica — Caso 09, retención de grabaciones (tabla 7.5)</w:t>
      </w:r>
    </w:p>
    <w:p>
      <w:r>
        <w:t>Cita textual: «Plazo de conservación de las grabaciones de originación y repactación | emelen». En el texto: «las grabaciones se conservan noventa días». «emelen» es un valor corrupto.</w:t>
      </w:r>
    </w:p>
    <w:p>
      <w:r>
        <w:rPr>
          <w:b/>
        </w:rPr>
        <w:t xml:space="preserve">Consecuencia si no se aclara: </w:t>
      </w:r>
      <w:r>
        <w:t>Sin un plazo de retención claro no se puede definir la estrategia de almacenamiento ni demostrar cumplimiento normativo de la trazabilidad del consentimiento del crédito.</w:t>
      </w:r>
    </w:p>
    <w:p>
      <w:r>
        <w:rPr>
          <w:b/>
        </w:rPr>
        <w:t>Consulta 8 — Técnica — Caso 09, tabla 7.4 (dotaciones y erratas)</w:t>
      </w:r>
    </w:p>
    <w:p>
      <w:r>
        <w:t>Citas textuales (tabla 7.4): «con hasta 17 años de antigúedad» y «Repositores E externos de proveedores y que trabajan y en sala | ≈ 1,100, sin control de actividad ni de acceso individualizado OS». El resto del documento usa «≈ 1.100».</w:t>
      </w:r>
    </w:p>
    <w:p>
      <w:r>
        <w:rPr>
          <w:b/>
        </w:rPr>
        <w:t xml:space="preserve">Consecuencia si no se aclara: </w:t>
      </w:r>
      <w:r>
        <w:t>La cifra errónea de repositores externos afecta el dimensionamiento de accesos, licencias y la estrategia de capacitación para personal sin vínculo laboral.</w:t>
      </w:r>
    </w:p>
    <w:p>
      <w:r>
        <w:rPr>
          <w:b/>
        </w:rPr>
        <w:t>Consulta 9 — Administrativa — Caso 09, erratas de redacción</w:t>
      </w:r>
    </w:p>
    <w:p>
      <w:r>
        <w:t>Citas textuales: «Tienda más LE pequeña», «El lan de trabajo», «del retail y y los de la filial emisora está. implementada», «responder nia favor ni en contra», «el último ds hito en 2029», y en 17.4 la cabecera «Ponti ificia Universidad Católica de Valparaíso - Escuela de Informática Bases Técnicas del Caso 09» inyectada a mitad de lista (numeración de 2 a 10).</w:t>
      </w:r>
    </w:p>
    <w:p>
      <w:r>
        <w:rPr>
          <w:b/>
        </w:rPr>
        <w:t xml:space="preserve">Consecuencia si no se aclara: </w:t>
      </w:r>
      <w:r>
        <w:t>Las erratas en secciones rectoras (numeración rota, cabeceras duplicadas) generan interpretaciones divergentes y riesgo de observación por incoherencia en la oferta.</w:t>
      </w:r>
    </w:p>
    <w:p>
      <w:r>
        <w:rPr>
          <w:b/>
        </w:rPr>
        <w:t>Consulta 10 — Técnica — Caso 09, discrepancia de inventario (entrevista vs dato)</w:t>
      </w:r>
    </w:p>
    <w:p>
      <w:r>
        <w:t>Citas textuales: «me dicen que el registro está malo en doce por ciento» (entrevista) vs «12,4 % de las referencias auditadas» (tabla 7.1) y «doce coma cuatro por ciento».</w:t>
      </w:r>
    </w:p>
    <w:p>
      <w:r>
        <w:rPr>
          <w:b/>
        </w:rPr>
        <w:t xml:space="preserve">Consecuencia si no se aclara: </w:t>
      </w:r>
      <w:r>
        <w:t>La base del dimensionamiento de inventario (12,4%) queda en duda, afectando directamente el diseño de la precisión de inventario y las metas de conteo cíclico.</w:t>
      </w:r>
    </w:p>
    <w:p>
      <w:r>
        <w:rPr>
          <w:b/>
        </w:rPr>
        <w:t>Consulta 11 — Técnica — Bases Transversales RT-21.06 / RT-21.07 vs Caso 09</w:t>
      </w:r>
    </w:p>
    <w:p>
      <w:r>
        <w:t>Transversal RT-21.06: «El centro de atención cumplirá un tiempo de atención al usuario final de 80% antes de 20 segundos y una resolución al primer contacto de al menos 70%. La tasa de abandono no superará el 5%.» (obligatorio). RT-21.07: «El horario mínimo de atención será de 8:00 a 20:00...». Caso RT-21.06: «Horario del centro de atención | De 09:00 a 23:00 todos los días del año... 24x7x365...». Intercambio de contenido entre códigos.</w:t>
      </w:r>
    </w:p>
    <w:p>
      <w:r>
        <w:rPr>
          <w:b/>
        </w:rPr>
        <w:t xml:space="preserve">Consecuencia si no se aclara: </w:t>
      </w:r>
      <w:r>
        <w:t>Sin el mapeo correcto del SLA de atención y su horario, el formulario T-12 no puede responder el requisito Obligatorio y se pierde trazabilidad y puntaje.</w:t>
      </w:r>
    </w:p>
    <w:p>
      <w:r>
        <w:rPr>
          <w:b/>
        </w:rPr>
        <w:t>Consulta 12 — Técnica — Bases Transversales RT-06.01 vs Caso 09</w:t>
      </w:r>
    </w:p>
    <w:p>
      <w:r>
        <w:t>Transversal RT-06.01: «El espacio asignado será de uso exclusivo de la solución y estará aislado de otras dependencias del CLIENTE, con acceso independiente.» (obligatorio). Caso RT-06.01: «Tipología del emplazamiento on-premise | Centro de datos propio de 140 m² habilitado en 2011 con sala de respaldo...». Mismo código, materias distintas.</w:t>
      </w:r>
    </w:p>
    <w:p>
      <w:r>
        <w:rPr>
          <w:b/>
        </w:rPr>
        <w:t xml:space="preserve">Consecuencia si no se aclara: </w:t>
      </w:r>
      <w:r>
        <w:t>La doble lectura de RT-06.01 deja sin resolver el requisito de espacio exclusivo/aislado, comprometiendo la justificación del emplazamiento on-premise (Art. 16).</w:t>
      </w:r>
    </w:p>
    <w:p>
      <w:r>
        <w:rPr>
          <w:b/>
        </w:rPr>
        <w:t>Consulta 13 — Técnica — Bases Transversales RT-03.10 vs Caso 09 (regla de precedencia)</w:t>
      </w:r>
    </w:p>
    <w:p>
      <w:r>
        <w:t>Transversal RT-03.10: «El componente on-premise operará de forma autónoma y degradada ante la pérdida total del enlace con la nube, durante un período mínimo de 24 horas continuas o el mayor que fije el caso.» (obligatorio). Caso RT-03.10: «Mínimo 8 horas continuas de operación de una tienda sin enlace... El centro de distribución principal: mínimo 4 horas.».</w:t>
      </w:r>
    </w:p>
    <w:p>
      <w:r>
        <w:rPr>
          <w:b/>
        </w:rPr>
        <w:t xml:space="preserve">Consecuencia si no se aclara: </w:t>
      </w:r>
      <w:r>
        <w:t>De regir la rebaja a 8/4 horas se incumpliría el piso obligatorio de 24 horas y la propuesta sería inconsistente con el Art. 16 y la precedencia del Art. 5°. Riesgo de observación grave.</w:t>
      </w:r>
    </w:p>
    <w:p>
      <w:r>
        <w:rPr>
          <w:b/>
        </w:rPr>
        <w:t xml:space="preserve">Consulta 14 — Técnica — Bases Transversales vs Caso 09, marco de la tabla </w:t>
      </w:r>
    </w:p>
    <w:p>
      <w:r>
        <w:t>Cita textual (Caso 09, intro de la tabla): «Las Bases Técnicas Transversales marcan un conjunto de requisitos como 'Según caso'... Los valores para el Caso 09 son los siguientes.» Se contrastó contra el transversal: 11 de 29 códigos no son «Según caso».</w:t>
      </w:r>
    </w:p>
    <w:p>
      <w:r>
        <w:rPr>
          <w:b/>
        </w:rPr>
        <w:t xml:space="preserve">Consecuencia si no se aclara: </w:t>
      </w:r>
      <w:r>
        <w:t>No saber qué códigos son «Según caso» impide completar correctamente el T-12 y puede llevar a proponer un alcance que no cubre requisitos Obligatorios del transversal.</w:t>
      </w:r>
    </w:p>
    <w:p>
      <w:r>
        <w:rPr>
          <w:b/>
        </w:rPr>
        <w:t>Consulta 15 — Técnica — Bases Transversales RT-03.24 / 05.10 / 09.01 / 15.02 / 13.12 / 16.x / 10.05 / 05.15 vs Caso 09</w:t>
      </w:r>
    </w:p>
    <w:p>
      <w:r>
        <w:t>Contraste código a código entre el transversal y el Caso 09 (RT-03.24, RT-05.10, RT-09.01, RT-15.02, RT-13.12, RT-16.14/16.21/16.30, RT-10.05, RT-05.15): mismos identificadores, materias distintas.</w:t>
      </w:r>
    </w:p>
    <w:p>
      <w:r>
        <w:rPr>
          <w:b/>
        </w:rPr>
        <w:t xml:space="preserve">Consecuencia si no se aclara: </w:t>
      </w:r>
      <w:r>
        <w:t>Los códigos RT desplazados dejan sin respuesta requisitos Obligatorios/Deseables del transversal; riesgo de pérdida de puntaje por no trazabilidad uno a uno en el T-12.</w:t>
      </w:r>
    </w:p>
    <w:p>
      <w:r>
        <w:rPr>
          <w:b/>
        </w:rPr>
        <w:t>Consulta 16 — Administrativa — Bases Administrativas, Art. 3 (definición de Etapa 2)</w:t>
      </w:r>
    </w:p>
    <w:p>
      <w:r>
        <w:t>Cita textual (Art. 3): «cuyo desarrollo se ejecuta entre el mes 13 y el mes 13 inclusive.» vs cronograma Art. 17: «13 - 18 Etapa 2 - Desarrollo ... Cierre del desarrollo en el mes 18 inclusive. 19-20 Marcha blanca. 21 Producción».</w:t>
      </w:r>
    </w:p>
    <w:p>
      <w:r>
        <w:rPr>
          <w:b/>
        </w:rPr>
        <w:t xml:space="preserve">Consecuencia si no se aclara: </w:t>
      </w:r>
      <w:r>
        <w:t>La definición errónea de Etapa 2 afecta el cronograma, la EDT y la distribución de la oferta económica; riesgo de inconsistencia con el Art. 17 y de descalificación.</w:t>
      </w:r>
    </w:p>
    <w:p>
      <w:r>
        <w:rPr>
          <w:b/>
        </w:rPr>
        <w:t>Consulta 17 — Administrativa — Bases Administrativas, Art. 20 y Art. 78.2 (disponibilidad)</w:t>
      </w:r>
    </w:p>
    <w:p>
      <w:r>
        <w:t>Citas textuales — Art. 20: «Disponibilidad mensual mínima de 99,9 % para los servicios clasificados como críticos, medida sobre la transacción de negocio de extremo a extremo». Art. 78.2 tabla (columna Crítica): «Disponibilidad mensual mínima 99,7%». Transversal: «99,9% (Artículo 78°)».</w:t>
      </w:r>
    </w:p>
    <w:p>
      <w:r>
        <w:rPr>
          <w:b/>
        </w:rPr>
        <w:t xml:space="preserve">Consecuencia si no se aclara: </w:t>
      </w:r>
      <w:r>
        <w:t>La discrepancia 99,9%/99,7% incide directamente en multas y penalidades de Operación y en el compromiso de SLO; hay que fijar el valor para la oferta y el plan de continuidad.</w:t>
      </w:r>
    </w:p>
    <w:p>
      <w:r>
        <w:rPr>
          <w:b/>
        </w:rPr>
        <w:t>Consulta 18 — Administrativa — Bases Administrativas, Formularios T-7 y T-21</w:t>
      </w:r>
    </w:p>
    <w:p>
      <w:r>
        <w:t>Citas textuales — T-7: «La Propuesta Técnica deberá estructurarse en catorce subdocumentos». T-21: fila «Transversal 4% 3% 2%» y pie «TOTAL ... 100 %». Suma de la primera columna ≈163 %.</w:t>
      </w:r>
    </w:p>
    <w:p>
      <w:r>
        <w:rPr>
          <w:b/>
        </w:rPr>
        <w:t xml:space="preserve">Consecuencia si no se aclara: </w:t>
      </w:r>
      <w:r>
        <w:t>La suma de ponderaciones (≈163%) y el ítem extra «Transversal» hacen imposible estructurar correctamente los sobres y anticipar el puntaje; riesgo de error de foliación y evaluación.</w:t>
      </w:r>
    </w:p>
    <w:p>
      <w:r>
        <w:rPr>
          <w:b/>
        </w:rPr>
        <w:t>Consulta 19 — Administrativa — Bases Administrativas, Art. 65 (escala académica)</w:t>
      </w:r>
    </w:p>
    <w:p>
      <w:r>
        <w:t>Cita textual (Art. 65): «Tercer lugar — Puntaje final en la evaluación técnica igual o superior a 60 % y puntaje en cada ítem superior a 30%. ... Cuarto lugar — ... igual o superior a 60 % y puntaje en cada ítem superior a 30 %. ... Quinto lugar e inferiores — ... igual o superior a 60 % y puntaje en cada ítem superior a 30%». Notas «5.5», «45», «40».</w:t>
      </w:r>
    </w:p>
    <w:p>
      <w:r>
        <w:rPr>
          <w:b/>
        </w:rPr>
        <w:t xml:space="preserve">Consecuencia si no se aclara: </w:t>
      </w:r>
      <w:r>
        <w:t>La escala académica ambigua impide prever la calificación y puede llevar a una oferta sobreesforzada; además, la nota errónea de decimales afecta la evaluación.</w:t>
      </w:r>
    </w:p>
    <w:p>
      <w:r>
        <w:rPr>
          <w:b/>
        </w:rPr>
        <w:t>Consulta 20 — Administrativa — Bases Administrativas, erratas de redacción (Art. 43.4, severidad, E-25, E-26, Sobre, Índice)</w:t>
      </w:r>
    </w:p>
    <w:p>
      <w:r>
        <w:t>Citas textuales: «43.4 Fl CLIENTE responderá...»; severidad «Ale...Medi...Baja»; cobertura «pS aa»; E-25 «89 % ... Subtotal Etapa 1 60%» (H2-H7 suman 52 %); E-26 «Director de Proyecto 1,5-2,8 UF / Gerente de Proyecto 1,5=28 UF», «MOSTSUE», «0,5-—0,8 UF»; Sobres «N*1/N*2/N*3» vs «N con símbolo de grado»; Índice «I con comillas - 13 con comillas, NI!, IV +, 912».</w:t>
      </w:r>
    </w:p>
    <w:p>
      <w:r>
        <w:rPr>
          <w:b/>
        </w:rPr>
        <w:t xml:space="preserve">Consecuencia si no se aclara: </w:t>
      </w:r>
      <w:r>
        <w:t>Los formularios E-25/E-26 corruptos provocan error en la oferta económica (hitos de pago que no suman 100% y tarifas ilegibles), con riesgo de inadmisibilidad e inconsistencias entre ítems.</w:t>
      </w:r>
    </w:p>
    <w:p/>
    <w:p>
      <w:r>
        <w:t>Se adjunta la planilla oficial en formato XLSX conforme a la nomenclatura del Art. 43.3 (CONSULTAS_[EMPRESA]_AAAAMMDD.XLSX). Agradecemos la confirmación de las aclaraciones precedentes en el Acta de Respuestas a Consultas.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