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5</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1</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G568 Síndrome de túnel del carpo bilateral</w:t>
            </w:r>
          </w:p>
          <w:p>
            <w:pPr>
              <w:pStyle w:val="TableParagraph"/>
              <w:spacing w:lineRule="exact" w:line="170" w:before="3" w:after="0"/>
              <w:jc w:val="both"/>
              <w:rPr/>
            </w:pPr>
            <w:r>
              <w:rPr>
                <w:rStyle w:val="Fuentedeprrafopredeter"/>
                <w:sz w:val="16"/>
                <w:szCs w:val="16"/>
              </w:rPr>
            </w:r>
            <w:r>
              <w:rPr>
                <w:rStyle w:val="Fuentedeprrafopredeter"/>
                <w:sz w:val="16"/>
                <w:szCs w:val="16"/>
              </w:rPr>
            </w:r>
            <w:r>
              <w:rPr>
                <w:rStyle w:val="Fuentedeprrafopredeter"/>
                <w:bCs/>
                <w:sz w:val="16"/>
                <w:szCs w:val="16"/>
              </w:rPr>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69 días</w:t>
            </w:r>
            <w:r>
              <w:rPr>
                <w:rStyle w:val="Fuentedeprrafopredeter"/>
                <w:sz w:val="16"/>
                <w:szCs w:val="16"/>
              </w:rPr>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3</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2</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t>22 años 10 meses aprox.</w:t>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 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p>
            <w:pPr>
              <w:pStyle w:val="TableParagraph"/>
              <w:ind w:end="29"/>
              <w:jc w:val="both"/>
              <w:rPr/>
            </w:pPr>
            <w:r>
              <w:rPr>
                <w:rStyle w:val="Fuentedeprrafopredeter"/>
                <w:sz w:val="16"/>
                <w:szCs w:val="16"/>
              </w:rPr>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t>La Servidora manifiesta las siguientes funciones: Diarias — Realizar el análisis de dinámicas delictivas de estafa. Realizar informe de dinámicas delictivas de estafa. Imprimir los informes, gráficas, mapas que se elaboran de los casos que se analizan de las dinámicas delictivas. La información llega al correo o a los diferentes sistemas que tiene la fiscalía SPOA, COGNOS, WATSON ETC, allí busca los datos de los casos que se estudian o el fenómeno criminal que se está estudiando (los casos llegan de denuncias presenciales, gestores que son denuncias virtuales, denuncias que llegan por correo que son por ORFEO,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 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 Apoyar cuando no está el encargado de medios la función de estar pendientes de los medios, capturas y hacer el reporte.</w:t>
            </w:r>
          </w:p>
          <w:p>
            <w:pPr>
              <w:pStyle w:val="TableParagraph"/>
              <w:ind w:end="38"/>
              <w:jc w:val="both"/>
              <w:rPr/>
            </w:pPr>
            <w:r>
              <w:rPr>
                <w:rStyle w:val="Fuentedeprrafopredeter"/>
                <w:sz w:val="16"/>
                <w:szCs w:val="16"/>
              </w:rPr>
            </w:r>
          </w:p>
          <w:p>
            <w:pPr>
              <w:pStyle w:val="TableParagraph"/>
              <w:ind w:end="38"/>
              <w:jc w:val="both"/>
              <w:rPr/>
            </w:pPr>
            <w:r>
              <w:rPr>
                <w:rStyle w:val="Fuentedeprrafopredeter"/>
                <w:sz w:val="16"/>
                <w:szCs w:val="16"/>
              </w:rPr>
            </w:r>
          </w:p>
          <w:p>
            <w:pPr>
              <w:pStyle w:val="TableParagraph"/>
              <w:numPr>
                <w:ilvl w:val="0"/>
                <w:numId w:val="3"/>
              </w:numPr>
              <w:ind w:end="38"/>
              <w:jc w:val="both"/>
              <w:rPr/>
            </w:pPr>
            <w:r>
              <w:rPr>
                <w:rStyle w:val="Fuentedeprrafopredeter"/>
                <w:sz w:val="16"/>
                <w:szCs w:val="16"/>
              </w:rPr>
            </w:r>
          </w:p>
          <w:p>
            <w:pPr>
              <w:pStyle w:val="TableParagraph"/>
              <w:numPr>
                <w:ilvl w:val="0"/>
                <w:numId w:val="1"/>
              </w:numPr>
              <w:ind w:end="38"/>
              <w:jc w:val="both"/>
              <w:rPr/>
            </w:pPr>
            <w:r>
              <w:rPr>
                <w:rStyle w:val="Fuentedeprrafopredeter"/>
                <w:sz w:val="16"/>
                <w:szCs w:val="16"/>
              </w:rPr>
            </w:r>
          </w:p>
          <w:p>
            <w:pPr>
              <w:pStyle w:val="TableParagraph"/>
              <w:numPr>
                <w:ilvl w:val="0"/>
                <w:numId w:val="1"/>
              </w:numPr>
              <w:ind w:end="38"/>
              <w:jc w:val="both"/>
              <w:rPr/>
            </w:pPr>
            <w:r>
              <w:rPr>
                <w:rStyle w:val="Fuentedeprrafopredeter"/>
                <w:sz w:val="16"/>
                <w:szCs w:val="16"/>
              </w:rPr>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r>
          </w:p>
          <w:p>
            <w:pPr>
              <w:pStyle w:val="TableParagraph"/>
              <w:ind w:end="38"/>
              <w:jc w:val="both"/>
              <w:rPr/>
            </w:pPr>
            <w:r>
              <w:rPr>
                <w:rStyle w:val="Fuentedeprrafopredeter"/>
                <w:sz w:val="16"/>
                <w:szCs w:val="16"/>
              </w:rPr>
            </w:r>
          </w:p>
          <w:p>
            <w:pPr>
              <w:pStyle w:val="TableParagraph"/>
              <w:ind w:end="38"/>
              <w:jc w:val="both"/>
              <w:rPr/>
            </w:pPr>
            <w:r>
              <w:rPr>
                <w:rStyle w:val="Fuentedeprrafopredeter"/>
                <w:sz w:val="16"/>
                <w:szCs w:val="16"/>
              </w:rPr>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t>Lunes a viernes de 8:00 am a 12:00 pm y 1:00 pm a 5:00 pm (real 7:00 am a 7:00 pm)</w:t>
            </w:r>
          </w:p>
          <w:p>
            <w:pPr>
              <w:pStyle w:val="TableParagraph"/>
              <w:rPr/>
            </w:pPr>
            <w:r>
              <w:rPr>
                <w:rStyle w:val="Fuentedeprrafopredeter"/>
                <w:b/>
                <w:w w:val="105"/>
                <w:sz w:val="14"/>
                <w:szCs w:val="16"/>
              </w:rPr>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8 horas diarias</w:t>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No</w:t>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No</w:t>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t>Lunes a viernes</w:t>
            </w:r>
          </w:p>
          <w:p>
            <w:pPr>
              <w:pStyle w:val="TableParagraph"/>
              <w:tabs>
                <w:tab w:val="clear" w:pos="720"/>
              </w:tabs>
              <w:ind w:start="83"/>
              <w:rPr/>
            </w:pPr>
            <w:r>
              <w:rPr>
                <w:rStyle w:val="Fuentedeprrafopredeter"/>
                <w:w w:val="105"/>
                <w:sz w:val="16"/>
                <w:szCs w:val="16"/>
              </w:rPr>
            </w:r>
            <w:r>
              <w:rPr>
                <w:rStyle w:val="Fuentedeprrafopredeter"/>
                <w:spacing w:val="-12"/>
                <w:w w:val="105"/>
                <w:sz w:val="16"/>
                <w:szCs w:val="16"/>
              </w:rPr>
            </w:r>
            <w:r>
              <w:rPr>
                <w:rStyle w:val="Fuentedeprrafopredeter"/>
                <w:w w:val="105"/>
                <w:sz w:val="16"/>
                <w:szCs w:val="16"/>
              </w:rPr>
            </w:r>
            <w:r>
              <w:rPr>
                <w:rStyle w:val="Fuentedeprrafopredeter"/>
                <w:spacing w:val="-10"/>
                <w:w w:val="105"/>
                <w:sz w:val="16"/>
                <w:szCs w:val="16"/>
              </w:rPr>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DE LA INFORMACION CRIMINAL-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 xml:space="preserve"> </w:t>
            </w:r>
          </w:p>
          <w:p>
            <w:pPr>
              <w:pStyle w:val="TableParagraph"/>
              <w:tabs>
                <w:tab w:val="clear" w:pos="720"/>
              </w:tabs>
              <w:spacing w:lineRule="exact" w:line="185"/>
              <w:ind w:start="83"/>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pPr>
            <w:r>
              <w:rPr>
                <w:rStyle w:val="Fuentedeprrafopredete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esto le ocasiona aumento de la sintomatología dolorosa. 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 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p>
            <w:pPr>
              <w:pStyle w:val="TableParagraph"/>
              <w:spacing w:before="150" w:after="0"/>
              <w:jc w:val="both"/>
              <w:rPr/>
            </w:pPr>
            <w:r>
              <w:rPr>
                <w:rStyle w:val="Fuentedeprrafopredeter"/>
                <w:sz w:val="16"/>
                <w:szCs w:val="16"/>
              </w:rPr>
            </w:r>
          </w:p>
          <w:p>
            <w:pPr>
              <w:pStyle w:val="TableParagraph"/>
              <w:spacing w:before="150" w:after="0"/>
              <w:jc w:val="both"/>
              <w:rPr/>
            </w:pPr>
            <w:r>
              <w:rPr>
                <w:rStyle w:val="Fuentedeprrafopredeter"/>
                <w:sz w:val="16"/>
                <w:szCs w:val="16"/>
              </w:rPr>
            </w:r>
          </w:p>
          <w:p>
            <w:pPr>
              <w:pStyle w:val="TableParagraph"/>
              <w:spacing w:before="150" w:after="0"/>
              <w:jc w:val="both"/>
              <w:rPr/>
            </w:pPr>
            <w:r>
              <w:rPr>
                <w:rStyle w:val="Fuentedeprrafopredeter"/>
                <w:sz w:val="16"/>
                <w:szCs w:val="16"/>
              </w:rPr>
            </w:r>
          </w:p>
        </w:tc>
        <w:tc>
          <w:tcPr>
            <w:tcW w:w="29" w:type="dxa"/>
            <w:tcBorders/>
          </w:tcPr>
          <w:p>
            <w:pPr>
              <w:pStyle w:val="Normal"/>
              <w:rPr/>
            </w:pPr>
            <w:r>
              <w:rPr/>
              <w:t>Autoadministrado, depende de los informes solicitados</w:t>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