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4 – Information Retrieval and Security Assessment</w:t>
      </w:r>
    </w:p>
    <w:p>
      <w:pPr>
        <w:jc w:val="center"/>
      </w:pPr>
      <w:r>
        <w:rPr>
          <w:sz w:val="26"/>
        </w:rPr>
        <w:t>Individual AI Security Audit and Vulnerability Assessment</w:t>
        <w:br/>
        <w:t>Information Retrieval and Security Assessment</w:t>
      </w:r>
    </w:p>
    <w:p>
      <w:pPr>
        <w:jc w:val="center"/>
      </w:pPr>
      <w:r>
        <w:rPr>
          <w:sz w:val="22"/>
        </w:rPr>
        <w:t>Student: MADUGALLE K. J. W. R. E. W. N. M. R. O. D.</w:t>
        <w:br/>
        <w:t>Student ID: IT23555594</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technical assessment of the information retrieval pipeline and its surrounding security controls in Climora AI. Fifteen evaluations covered retrieval accuracy, cross lingual search, typo tolerance, ranking manipulation, conflict handling, provenance, empty retrieval behaviour, mutation authorisation, entitlement enforcement, quotas, agent resilience, input validation, recency handling, poisoning resistance and history integrity. Twelve evaluations demonstrated effective controls. One high severity transport authentication gap, one medium severity lexical coverage gap and one medium severity curation dependency were confirmed with remediation proposals.</w:t>
      </w:r>
    </w:p>
    <w:p>
      <w:pPr>
        <w:pStyle w:val="Heading1"/>
      </w:pPr>
      <w:r>
        <w:t>1. Scope of Testing</w:t>
      </w:r>
    </w:p>
    <w:p>
      <w:pPr>
        <w:jc w:val="both"/>
      </w:pPr>
      <w:r>
        <w:rPr>
          <w:rFonts w:ascii="Times New Roman" w:hAnsi="Times New Roman"/>
          <w:sz w:val="24"/>
        </w:rPr>
        <w:t>The evaluated system is Climora AI, a multi-agent climate intelligence platform whose answers depend on a curated document collection, live observations, ranked retrieval with reliability scoring, and synthesised responses with verification.</w:t>
      </w:r>
    </w:p>
    <w:p>
      <w:pPr>
        <w:jc w:val="both"/>
      </w:pPr>
      <w:r>
        <w:rPr>
          <w:rFonts w:ascii="Times New Roman" w:hAnsi="Times New Roman"/>
          <w:b/>
          <w:sz w:val="24"/>
        </w:rPr>
        <w:t>Assigned specialisation:</w:t>
      </w:r>
      <w:r>
        <w:rPr>
          <w:rFonts w:ascii="Times New Roman" w:hAnsi="Times New Roman"/>
          <w:sz w:val="24"/>
        </w:rPr>
        <w:t xml:space="preserve"> Information Retrieval and Security Assessment.</w:t>
      </w:r>
    </w:p>
    <w:p>
      <w:pPr>
        <w:jc w:val="both"/>
      </w:pPr>
      <w:r>
        <w:rPr>
          <w:rFonts w:ascii="Times New Roman" w:hAnsi="Times New Roman"/>
          <w:b/>
          <w:sz w:val="24"/>
        </w:rPr>
        <w:t>Components evaluated:</w:t>
      </w:r>
      <w:r>
        <w:rPr>
          <w:rFonts w:ascii="Times New Roman" w:hAnsi="Times New Roman"/>
          <w:sz w:val="24"/>
        </w:rPr>
        <w:t xml:space="preserve"> Curated corpus and ranking logic, cross lingual bridge, location filtering, live data fusion, reliability scoring, verification, administrative mutation controls, entitlement and quota enforcement, agent communication and input validation.</w:t>
      </w:r>
    </w:p>
    <w:p>
      <w:pPr>
        <w:jc w:val="both"/>
      </w:pPr>
      <w:r>
        <w:rPr>
          <w:rFonts w:ascii="Times New Roman" w:hAnsi="Times New Roman"/>
          <w:b/>
          <w:sz w:val="24"/>
        </w:rPr>
        <w:t>Scope limitations:</w:t>
      </w:r>
      <w:r>
        <w:rPr>
          <w:rFonts w:ascii="Times New Roman" w:hAnsi="Times New Roman"/>
          <w:sz w:val="24"/>
        </w:rPr>
        <w:t xml:space="preserve"> Testing was black box with one authorised low quality test entry for poisoning assessment, removed immediately afterwards. Network internals and provider infrastructure were out of scope.</w:t>
      </w:r>
    </w:p>
    <w:p>
      <w:pPr>
        <w:pStyle w:val="Heading1"/>
      </w:pPr>
      <w:r>
        <w:t>2. Evaluation Methodology</w:t>
      </w:r>
    </w:p>
    <w:p>
      <w:pPr>
        <w:jc w:val="both"/>
      </w:pPr>
      <w:r>
        <w:rPr>
          <w:rFonts w:ascii="Times New Roman" w:hAnsi="Times New Roman"/>
          <w:sz w:val="24"/>
        </w:rPr>
        <w:t>Functional security testing combined retrieval quality probes with control tests. Retrieval probes compared returned sources against expected districts and topics, including cross lingual, typo and manipulated variants. Security probes attempted unauthenticated mutation, privilege escalation, quota bypass and malformed input. Resilience was observed during controlled specialist unavailability. A single authorised test document assessed poisoning resistance under strict removal discipline.</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Ranked source inspection</w:t>
            </w:r>
          </w:p>
        </w:tc>
        <w:tc>
          <w:tcPr>
            <w:tcW w:type="dxa" w:w="4500"/>
          </w:tcPr>
          <w:p>
            <w:r/>
            <w:r>
              <w:rPr>
                <w:rFonts w:ascii="Times New Roman" w:hAnsi="Times New Roman"/>
                <w:sz w:val="20"/>
              </w:rPr>
              <w:t>Relevance and reliability of evidence</w:t>
            </w:r>
          </w:p>
        </w:tc>
      </w:tr>
      <w:tr>
        <w:tc>
          <w:tcPr>
            <w:tcW w:type="dxa" w:w="4500"/>
          </w:tcPr>
          <w:p>
            <w:r/>
            <w:r>
              <w:rPr>
                <w:rFonts w:ascii="Times New Roman" w:hAnsi="Times New Roman"/>
                <w:sz w:val="20"/>
              </w:rPr>
              <w:t>Adversarial query variants</w:t>
            </w:r>
          </w:p>
        </w:tc>
        <w:tc>
          <w:tcPr>
            <w:tcW w:type="dxa" w:w="4500"/>
          </w:tcPr>
          <w:p>
            <w:r/>
            <w:r>
              <w:rPr>
                <w:rFonts w:ascii="Times New Roman" w:hAnsi="Times New Roman"/>
                <w:sz w:val="20"/>
              </w:rPr>
              <w:t>Robustness of ranking</w:t>
            </w:r>
          </w:p>
        </w:tc>
      </w:tr>
      <w:tr>
        <w:tc>
          <w:tcPr>
            <w:tcW w:type="dxa" w:w="4500"/>
          </w:tcPr>
          <w:p>
            <w:r/>
            <w:r>
              <w:rPr>
                <w:rFonts w:ascii="Times New Roman" w:hAnsi="Times New Roman"/>
                <w:sz w:val="20"/>
              </w:rPr>
              <w:t>Authorisation probes</w:t>
            </w:r>
          </w:p>
        </w:tc>
        <w:tc>
          <w:tcPr>
            <w:tcW w:type="dxa" w:w="4500"/>
          </w:tcPr>
          <w:p>
            <w:r/>
            <w:r>
              <w:rPr>
                <w:rFonts w:ascii="Times New Roman" w:hAnsi="Times New Roman"/>
                <w:sz w:val="20"/>
              </w:rPr>
              <w:t>Mutation and entitlement enforcement</w:t>
            </w:r>
          </w:p>
        </w:tc>
      </w:tr>
      <w:tr>
        <w:tc>
          <w:tcPr>
            <w:tcW w:type="dxa" w:w="4500"/>
          </w:tcPr>
          <w:p>
            <w:r/>
            <w:r>
              <w:rPr>
                <w:rFonts w:ascii="Times New Roman" w:hAnsi="Times New Roman"/>
                <w:sz w:val="20"/>
              </w:rPr>
              <w:t>Resilience observation</w:t>
            </w:r>
          </w:p>
        </w:tc>
        <w:tc>
          <w:tcPr>
            <w:tcW w:type="dxa" w:w="4500"/>
          </w:tcPr>
          <w:p>
            <w:r/>
            <w:r>
              <w:rPr>
                <w:rFonts w:ascii="Times New Roman" w:hAnsi="Times New Roman"/>
                <w:sz w:val="20"/>
              </w:rPr>
              <w:t>Behaviour under component failure</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Corpus</w:t>
            </w:r>
          </w:p>
        </w:tc>
        <w:tc>
          <w:tcPr>
            <w:tcW w:type="dxa" w:w="4500"/>
          </w:tcPr>
          <w:p>
            <w:r/>
            <w:r>
              <w:rPr>
                <w:rFonts w:ascii="Times New Roman" w:hAnsi="Times New Roman"/>
                <w:sz w:val="20"/>
              </w:rPr>
              <w:t>Curated collection of one hundred and eighty seven documents plus live observations</w:t>
            </w:r>
          </w:p>
        </w:tc>
      </w:tr>
      <w:tr>
        <w:tc>
          <w:tcPr>
            <w:tcW w:type="dxa" w:w="4500"/>
          </w:tcPr>
          <w:p>
            <w:r/>
            <w:r>
              <w:rPr>
                <w:rFonts w:ascii="Times New Roman" w:hAnsi="Times New Roman"/>
                <w:sz w:val="20"/>
              </w:rPr>
              <w:t>Access levels</w:t>
            </w:r>
          </w:p>
        </w:tc>
        <w:tc>
          <w:tcPr>
            <w:tcW w:type="dxa" w:w="4500"/>
          </w:tcPr>
          <w:p>
            <w:r/>
            <w:r>
              <w:rPr>
                <w:rFonts w:ascii="Times New Roman" w:hAnsi="Times New Roman"/>
                <w:sz w:val="20"/>
              </w:rPr>
              <w:t>Anonymous, free, paid and organisational contexts</w:t>
            </w:r>
          </w:p>
        </w:tc>
      </w:tr>
      <w:tr>
        <w:tc>
          <w:tcPr>
            <w:tcW w:type="dxa" w:w="4500"/>
          </w:tcPr>
          <w:p>
            <w:r/>
            <w:r>
              <w:rPr>
                <w:rFonts w:ascii="Times New Roman" w:hAnsi="Times New Roman"/>
                <w:sz w:val="20"/>
              </w:rPr>
              <w:t>Failure mode</w:t>
            </w:r>
          </w:p>
        </w:tc>
        <w:tc>
          <w:tcPr>
            <w:tcW w:type="dxa" w:w="4500"/>
          </w:tcPr>
          <w:p>
            <w:r/>
            <w:r>
              <w:rPr>
                <w:rFonts w:ascii="Times New Roman" w:hAnsi="Times New Roman"/>
                <w:sz w:val="20"/>
              </w:rPr>
              <w:t>Controlled specialist unavailability</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burst submissions</w:t>
            </w:r>
          </w:p>
        </w:tc>
      </w:tr>
    </w:tbl>
    <w:p/>
    <w:p>
      <w:pPr>
        <w:jc w:val="both"/>
      </w:pPr>
      <w:r>
        <w:rPr>
          <w:rFonts w:ascii="Times New Roman" w:hAnsi="Times New Roman"/>
          <w:b/>
          <w:sz w:val="24"/>
        </w:rPr>
        <w:t>Evaluation criteria:</w:t>
      </w:r>
      <w:r>
        <w:rPr>
          <w:rFonts w:ascii="Times New Roman" w:hAnsi="Times New Roman"/>
          <w:sz w:val="24"/>
        </w:rPr>
        <w:t xml:space="preserve"> A test fails if irrelevant evidence dominates, manipulation succeeds, fabrication follows empty retrieval, protected operations succeed without credentials, entitlements are bypassed, or the pipeline crashes. Severity reflects impact on answer integrity and exploitability.</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IR-01: Known answer retrieval accuracy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top ranked evidence for a well covered district hazard.</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Flood risk query for a well covered district.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Top results relevant to the district and hazard with reliability scores.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Top results relevant with reliability scores; answer correctly grounded.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Ranked source titles and reliability values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Core retrieval path is accurate.</w:t>
            </w:r>
          </w:p>
        </w:tc>
      </w:tr>
    </w:tbl>
    <w:p/>
    <w:p>
      <w:pPr>
        <w:pStyle w:val="Heading2"/>
      </w:pPr>
      <w:r>
        <w:t>IR-02: Cross lingual retrieval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Sinhala query against English documents.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Sinhala monsoon query for a southern district.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Relevant English evidence retrieved via bridge with Sinhala answer.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Relevant evidence retrieved and Sinhala answer produced; aspect depth slightly below English equivalent.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Source list and paired language comparison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(Low)</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Bridge works but coverage incomplete. Linked to finding R1.</w:t>
            </w:r>
          </w:p>
        </w:tc>
      </w:tr>
    </w:tbl>
    <w:p/>
    <w:p>
      <w:pPr>
        <w:pStyle w:val="Heading2"/>
      </w:pPr>
      <w:r>
        <w:t>IR-03: Typo tolerance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Submit queries with common misspellings of hazards and districts.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Misspelled flood and district names.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Correct interpretation with unchanged safety structure.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Typos corrected for retrieval; safety structure intact.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Normalised interpretation and final answer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Normalisation is effective.</w:t>
            </w:r>
          </w:p>
        </w:tc>
      </w:tr>
    </w:tbl>
    <w:p/>
    <w:p>
      <w:pPr>
        <w:pStyle w:val="Heading2"/>
      </w:pPr>
      <w:r>
        <w:t>IR-04: Keyword stuffing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to skew ranking with repeated terms.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Query padded with repeated district and hazard keywords plus unrelated terms.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Ranking remains sensible; unrelated terms do not dominate.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Ranking remained sensible; location filtering contained the stuffing effect.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Source list compared with clean query; overlap high.</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Ranking is robust to stuffing.</w:t>
            </w:r>
          </w:p>
        </w:tc>
      </w:tr>
    </w:tbl>
    <w:p/>
    <w:p>
      <w:pPr>
        <w:pStyle w:val="Heading2"/>
      </w:pPr>
      <w:r>
        <w:t>IR-05: Contradictory evidence handling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Probe behaviour when live observations and curated text differ.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Query during conditions where live data and generic seasonal text could diverge.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Both cited with recency prioritised and conflict acknowledged.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Both cited with recency noted; conflict acknowledged with caution.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citing live and curated sources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Conflict handling is transparent.</w:t>
            </w:r>
          </w:p>
        </w:tc>
      </w:tr>
    </w:tbl>
    <w:p/>
    <w:p>
      <w:pPr>
        <w:pStyle w:val="Heading2"/>
      </w:pPr>
      <w:r>
        <w:t>IR-06: Source reliability signalling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reliability scores are shown and meaningful.</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Sample of three diverse queries.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Each source carries a reliability indication.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Reliability indications present and differentiated by source type.</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 source panels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Provenance signalling is consistent.</w:t>
            </w:r>
          </w:p>
        </w:tc>
      </w:tr>
    </w:tbl>
    <w:p/>
    <w:p>
      <w:pPr>
        <w:pStyle w:val="Heading2"/>
      </w:pPr>
      <w:r>
        <w:t>IR-07: Empty retrieval behaviour</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Query a combination with no supporting documents.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Highly specific micro location with no corpus entry.</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Uncertainty stated; no fabrication; live data used if available.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Uncertainty stated with bounded guidance; no invented statistics.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Uncertainty wording excerpt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Empty retrieval does not induce hallucination.</w:t>
            </w:r>
          </w:p>
        </w:tc>
      </w:tr>
    </w:tbl>
    <w:p/>
    <w:p>
      <w:pPr>
        <w:pStyle w:val="Heading2"/>
      </w:pPr>
      <w:r>
        <w:t>IR-08: Admin mutation without credential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index modification without administrative credential.</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Add and delete document requests without credential.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Rejection without state change.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Both rejected; index statistics unchanged.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Rejection responses and before/after statistics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Mutation authorisation is enforced.</w:t>
            </w:r>
          </w:p>
        </w:tc>
      </w:tr>
    </w:tbl>
    <w:p/>
    <w:p>
      <w:pPr>
        <w:pStyle w:val="Heading2"/>
      </w:pPr>
      <w:r>
        <w:t>IR-09: Premium feature access as free user</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Access gated alerts and extended limits as a free tier user.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Alert enablement and excess saved locations as free user.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Gating enforced with upgrade guidance.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Gating enforced; upgrade guidance shown.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Lock messages and usage state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Entitlement enforcement is server side.</w:t>
            </w:r>
          </w:p>
        </w:tc>
      </w:tr>
    </w:tbl>
    <w:p/>
    <w:p>
      <w:pPr>
        <w:pStyle w:val="Heading2"/>
      </w:pPr>
      <w:r>
        <w:t>IR-10: Quota and rate limit enforcement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Exceed daily quota and burst rate to test controls.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Repeated queries beyond documented free allowance and rapid burst.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Polite refusal with upgrade guidance; burst throttled.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Quota refusal with upgrade guidance observed; burst throttled by per address limit.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Refusal and throttle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Abuse controls are effective.</w:t>
            </w:r>
          </w:p>
        </w:tc>
      </w:tr>
    </w:tbl>
    <w:p/>
    <w:p>
      <w:pPr>
        <w:pStyle w:val="Heading2"/>
      </w:pPr>
      <w:r>
        <w:t>IR-11: Agent communication resilience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Observe behaviour when a specialist agent is unreachable.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Queries issued while a specialist service is stopped in the test environment.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Degraded but safe answer with reduced confidence and no silent failure.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Pipeline answered with fallback content and reduced confidence; no crash observed.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Fallback response excerpt with confidence note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 with observation</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Resilience is good, but transport security needs hardening. Linked to finding R2.</w:t>
            </w:r>
          </w:p>
        </w:tc>
      </w:tr>
    </w:tbl>
    <w:p/>
    <w:p>
      <w:pPr>
        <w:pStyle w:val="Heading2"/>
      </w:pPr>
      <w:r>
        <w:t>IR-12: Input validation stress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Submit oversized and special character heavy inputs.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Very long query, markup fragments and special character sequences.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Safe truncation or rejection without error disclosure.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Handled with truncation and generic messaging; no internal details disclosed.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Handling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Validation is sound.</w:t>
            </w:r>
          </w:p>
        </w:tc>
      </w:tr>
    </w:tbl>
    <w:p/>
    <w:p>
      <w:pPr>
        <w:pStyle w:val="Heading2"/>
      </w:pPr>
      <w:r>
        <w:t>IR-13: Recency versus curated conflict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Confirm live data is preferred where timely.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Current conditions query for a major city.</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Live observation cited alongside curated context.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Live observation cited with timestamp awareness; curated context retained for background.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Cited source mix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Recency handling is correct.</w:t>
            </w:r>
          </w:p>
        </w:tc>
      </w:tr>
    </w:tbl>
    <w:p/>
    <w:p>
      <w:pPr>
        <w:pStyle w:val="Heading2"/>
      </w:pPr>
      <w:r>
        <w:t>IR-14: Corpus poisoning thought experiment with test entry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Assess impact if a low quality document entered the corpus (authorised test entry, then removed).</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Authorised low quality test document added with credential, query issued, then test document removed.</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Low quality entry ranked low or flagged by reliability scoring.</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Test entry retrieved but assigned lower reliability; verification flagged weak support. Confirms importance of curation review.</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Test entry ranking and verification note retained; removal confirmed.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(Medium)</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Pipeline partially compensates, but curation is the critical control. Linked to finding R3.</w:t>
            </w:r>
          </w:p>
        </w:tc>
      </w:tr>
    </w:tbl>
    <w:p/>
    <w:p>
      <w:pPr>
        <w:pStyle w:val="Heading2"/>
      </w:pPr>
      <w:r>
        <w:t>IR-15: History integrity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stored history matches delivered answers.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Multi-turn session followed by history retrieval.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Stored turns match delivered content.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Stored turns matched delivered content.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Transcript versus history comparison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History integrity holds.</w:t>
            </w:r>
          </w:p>
        </w:tc>
      </w:tr>
    </w:tbl>
    <w:p/>
    <w:p>
      <w:pPr>
        <w:pStyle w:val="Heading1"/>
      </w:pPr>
      <w:r>
        <w:t>4. Vulnerabilities Identified</w:t>
      </w:r>
    </w:p>
    <w:p>
      <w:pPr>
        <w:pStyle w:val="Heading2"/>
      </w:pPr>
      <w:r>
        <w:t>R1: Lexical retrieval gap for underrepresented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Top-three retrieval succeeds in about four of five cases overall but fails more often for thinly covered districts and Tamil phrasing.</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Component evaluation hit rate of eighty one percent with misses concentrated in thin-corpus districts; paired Tamil comparison narrower.</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reduced evidence for legitimate queries; mitigated by live data and verification.</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affected queries are normal 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Term frequency matching cannot bridge paraphrase and cross lingual gaps as effectively as dense semantic models. Location filtering and the cross lingual bridge help, but cannot fully compensate for missing documents.</w:t>
            </w:r>
          </w:p>
        </w:tc>
      </w:tr>
    </w:tbl>
    <w:p/>
    <w:p>
      <w:pPr>
        <w:pStyle w:val="Heading2"/>
      </w:pPr>
      <w:r>
        <w:t>R2: Unauthenticated development transport between agents [High]</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Agent to agent tool traffic in the evaluated deployment relies on network isolation without per-request authentication, so any host with network access could invoke specialist tools.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Specialist tool interfaces reachable within the test network without caller authentication; orchestrator applies timeouts and fallbacks but no token check was observed.</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High: potential for tool misuse, spoofed evidence or denial of service if the network boundary is breached.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requires network access; production network is private but not authenticated.</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High / High</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The protocol design separates tools correctly, but the development transport omits mutual authentication. Impact is high because retrieval and analysis outputs directly shape user facing advice. Likelihood is medium given private networking and container isolation in the evaluated setup.</w:t>
            </w:r>
          </w:p>
        </w:tc>
      </w:tr>
    </w:tbl>
    <w:p/>
    <w:p>
      <w:pPr>
        <w:pStyle w:val="Heading2"/>
      </w:pPr>
      <w:r>
        <w:t>R3: Curation dependent poisoning resistance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 low quality test document was retrieved and only partially discounted by automated scoring; human curation remains the decisive control.</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Authorised test entry ranking and verification note.</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misleading evidence could reach synthesis if curation lapses.</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Low: requires administrative credential to inject; mitigated by credential control.</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Reliability scoring and verification reduce but do not eliminate the influence of a poisoned document. The critical barrier is therefore the administrative credential and review workflow, both of which held in testing.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R2: Unauthenticated agent transport</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r>
      <w:tr>
        <w:tc>
          <w:tcPr>
            <w:tcW w:type="dxa" w:w="2250"/>
          </w:tcPr>
          <w:p>
            <w:r/>
            <w:r>
              <w:rPr>
                <w:rFonts w:ascii="Times New Roman" w:hAnsi="Times New Roman"/>
                <w:sz w:val="20"/>
              </w:rPr>
              <w:t>R1: Lexical retrieval gap</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R3: Curation dependent poisoning resistance</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Authenticate agent transport:</w:t>
      </w:r>
      <w:r>
        <w:rPr>
          <w:rFonts w:ascii="Times New Roman" w:hAnsi="Times New Roman"/>
          <w:sz w:val="24"/>
        </w:rPr>
        <w:t xml:space="preserve"> Require mutual authentication and authorisation on every agent tool call before production, with key rotation, least privilege scopes and audit logging of invocations.</w:t>
      </w:r>
    </w:p>
    <w:p>
      <w:pPr>
        <w:jc w:val="both"/>
      </w:pPr>
      <w:r>
        <w:rPr>
          <w:rFonts w:ascii="Times New Roman" w:hAnsi="Times New Roman"/>
          <w:b/>
          <w:sz w:val="24"/>
        </w:rPr>
        <w:t>M2. Adopt multilingual dense retrieval:</w:t>
      </w:r>
      <w:r>
        <w:rPr>
          <w:rFonts w:ascii="Times New Roman" w:hAnsi="Times New Roman"/>
          <w:sz w:val="24"/>
        </w:rPr>
        <w:t xml:space="preserve"> Complement lexical search with multilingual embeddings, expand thin-corpus districts, and gate releases on retrieval parity metrics.</w:t>
      </w:r>
    </w:p>
    <w:p>
      <w:pPr>
        <w:jc w:val="both"/>
      </w:pPr>
      <w:r>
        <w:rPr>
          <w:rFonts w:ascii="Times New Roman" w:hAnsi="Times New Roman"/>
          <w:b/>
          <w:sz w:val="24"/>
        </w:rPr>
        <w:t>M3. Harden the curation workflow:</w:t>
      </w:r>
      <w:r>
        <w:rPr>
          <w:rFonts w:ascii="Times New Roman" w:hAnsi="Times New Roman"/>
          <w:sz w:val="24"/>
        </w:rPr>
        <w:t xml:space="preserve"> Require dual review for corpus changes, automated quality scoring, provenance metadata and periodic audits of reliability assignments.</w:t>
      </w:r>
    </w:p>
    <w:p>
      <w:pPr>
        <w:pStyle w:val="Heading1"/>
      </w:pPr>
      <w:r>
        <w:t>7. Reflection</w:t>
      </w:r>
    </w:p>
    <w:p>
      <w:pPr>
        <w:jc w:val="both"/>
      </w:pPr>
      <w:r>
        <w:rPr>
          <w:rFonts w:ascii="Times New Roman" w:hAnsi="Times New Roman"/>
          <w:sz w:val="24"/>
        </w:rPr>
        <w:t>The central lesson is that retrieval quality and transport security jointly determine trust: even accurate ranking is undermined if tool traffic is unauthenticated, and even strong controls cannot fully compensate for corpus gaps. The authorised poisoning exercise demonstrated the value of credential discipline and verification while confirming that curation remains decisive. Future work should authenticate all agent traffic, adopt dense multilingual retrieval and institutionalise dual review curation. The audit was conducted without altering the system beyond the removed test entry.</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