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2D5A" w:val="clear"/>
        <w:spacing w:after="50" w:before="700"/>
        <w:jc w:val="center"/>
      </w:pPr>
      <w:r>
        <w:rPr>
          <w:rFonts w:ascii="Calibri" w:cs="Calibri" w:eastAsia="Calibri" w:hAnsi="Calibri"/>
          <w:b w:val="false"/>
          <w:bCs w:val="false"/>
          <w:i w:val="false"/>
          <w:iCs w:val="false"/>
          <w:color w:val="AABBDD"/>
          <w:sz w:val="18"/>
          <w:szCs w:val="18"/>
        </w:rPr>
        <w:t xml:space="preserve">GRC ANALYST PORTFOLIO — PROJECT 0</w:t>
      </w:r>
    </w:p>
    <w:p>
      <w:pPr>
        <w:shd w:fill="1F2D5A" w:val="clear"/>
        <w:spacing w:after="50" w:before="50"/>
        <w:jc w:val="center"/>
      </w:pPr>
      <w:r>
        <w:rPr>
          <w:rFonts w:ascii="Calibri" w:cs="Calibri" w:eastAsia="Calibri" w:hAnsi="Calibri"/>
          <w:b/>
          <w:bCs/>
          <w:i w:val="false"/>
          <w:iCs w:val="false"/>
          <w:color w:val="FFFFFF"/>
          <w:sz w:val="44"/>
          <w:szCs w:val="44"/>
        </w:rPr>
        <w:t xml:space="preserve">TechBridge Solutions</w:t>
      </w:r>
    </w:p>
    <w:p>
      <w:pPr>
        <w:shd w:fill="1F2D5A" w:val="clear"/>
        <w:spacing w:after="50" w:before="50"/>
        <w:jc w:val="center"/>
      </w:pPr>
      <w:r>
        <w:rPr>
          <w:rFonts w:ascii="Calibri" w:cs="Calibri" w:eastAsia="Calibri" w:hAnsi="Calibri"/>
          <w:b w:val="false"/>
          <w:bCs w:val="false"/>
          <w:i w:val="false"/>
          <w:iCs w:val="false"/>
          <w:color w:val="AABBDD"/>
          <w:sz w:val="22"/>
          <w:szCs w:val="22"/>
        </w:rPr>
        <w:t xml:space="preserve">Company Background &amp; Assessment Context</w:t>
      </w:r>
    </w:p>
    <w:p>
      <w:pPr>
        <w:shd w:fill="1F2D5A" w:val="clear"/>
        <w:spacing w:after="50" w:before="50"/>
        <w:jc w:val="center"/>
      </w:pPr>
      <w:r>
        <w:rPr>
          <w:rFonts w:ascii="Calibri" w:cs="Calibri" w:eastAsia="Calibri" w:hAnsi="Calibri"/>
          <w:b w:val="false"/>
          <w:bCs w:val="false"/>
          <w:i w:val="false"/>
          <w:iCs w:val="false"/>
          <w:color w:val="FFFFFF"/>
          <w:sz w:val="14"/>
          <w:szCs w:val="14"/>
        </w:rPr>
        <w:t xml:space="preserve"> </w:t>
      </w:r>
    </w:p>
    <w:p>
      <w:pPr>
        <w:shd w:fill="1F2D5A" w:val="clear"/>
        <w:spacing w:after="50" w:before="50"/>
        <w:jc w:val="center"/>
      </w:pPr>
      <w:r>
        <w:rPr>
          <w:rFonts w:ascii="Calibri" w:cs="Calibri" w:eastAsia="Calibri" w:hAnsi="Calibri"/>
          <w:b w:val="false"/>
          <w:bCs w:val="false"/>
          <w:i w:val="false"/>
          <w:iCs w:val="false"/>
          <w:color w:val="CCDDEE"/>
          <w:sz w:val="18"/>
          <w:szCs w:val="18"/>
        </w:rPr>
        <w:t xml:space="preserve">Prepared by: Manveer Grewal  |  Date: July 2, 2026</w:t>
      </w:r>
    </w:p>
    <w:p>
      <w:pPr>
        <w:shd w:fill="1F2D5A" w:val="clear"/>
        <w:spacing w:after="700" w:before="50"/>
        <w:jc w:val="center"/>
      </w:pPr>
      <w:r>
        <w:rPr>
          <w:rFonts w:ascii="Calibri" w:cs="Calibri" w:eastAsia="Calibri" w:hAnsi="Calibri"/>
          <w:b w:val="false"/>
          <w:bCs w:val="false"/>
          <w:i/>
          <w:iCs/>
          <w:color w:val="AABBDD"/>
          <w:sz w:val="17"/>
          <w:szCs w:val="17"/>
        </w:rPr>
        <w:t xml:space="preserve">This document establishes the organizational context underpinning all GRC portfolio projects.</w:t>
      </w:r>
    </w:p>
    <w:p>
      <w:pPr>
        <w:spacing w:after="0" w:before="100"/>
      </w:pPr>
      <w:r>
        <w:t xml:space="preserve"/>
      </w:r>
    </w:p>
    <w:p>
      <w:pPr>
        <w:pBdr>
          <w:bottom w:val="single" w:color="1F2D5A" w:sz="8" w:space="3"/>
        </w:pBdr>
        <w:spacing w:after="80" w:before="220"/>
      </w:pPr>
      <w:r>
        <w:rPr>
          <w:rFonts w:ascii="Calibri" w:cs="Calibri" w:eastAsia="Calibri" w:hAnsi="Calibri"/>
          <w:b/>
          <w:bCs/>
          <w:color w:val="1F2D5A"/>
          <w:sz w:val="22"/>
          <w:szCs w:val="22"/>
        </w:rPr>
        <w:t xml:space="preserve">1. COMPANY SNAPSHOT</w:t>
      </w:r>
    </w:p>
    <w:p>
      <w:pPr>
        <w:spacing w:after="60" w:before="60"/>
      </w:pPr>
      <w:r>
        <w:rPr>
          <w:rFonts w:ascii="Calibri" w:cs="Calibri" w:eastAsia="Calibri" w:hAnsi="Calibri"/>
          <w:b w:val="false"/>
          <w:bCs w:val="false"/>
          <w:i w:val="false"/>
          <w:iCs w:val="false"/>
          <w:color w:val="222222"/>
          <w:sz w:val="20"/>
          <w:szCs w:val="20"/>
        </w:rPr>
        <w:t xml:space="preserve">TechBridge Solutions is a mid-size B2B software company headquartered in Tysons Corner, Virginia. Founded in 2014, the company develops and sells cloud-hosted project management and workflow automation software primarily to professional services firms — including law firms, accounting firms, and management consultancies — across the United States and Canada.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940"/>
      </w:tblGrid>
      <w:tr>
        <w:tc>
          <w:tcPr>
            <w:tcW w:type="dxa" w:w="2400"/>
            <w:tcBorders>
              <w:top w:val="single" w:color="CCCCCC" w:sz="4"/>
              <w:left w:val="single" w:color="CCCCCC" w:sz="4"/>
              <w:bottom w:val="single" w:color="CCCCCC" w:sz="4"/>
              <w:right w:val="single" w:color="CCCCCC" w:sz="4"/>
            </w:tcBorders>
            <w:shd w:fill="1F2D5A"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Founded</w:t>
            </w:r>
          </w:p>
        </w:tc>
        <w:tc>
          <w:tcPr>
            <w:tcW w:type="dxa" w:w="7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2014 — Tysons Corner, Virginia (HQ)</w:t>
            </w:r>
          </w:p>
        </w:tc>
      </w:tr>
      <w:tr>
        <w:tc>
          <w:tcPr>
            <w:tcW w:type="dxa" w:w="2400"/>
            <w:tcBorders>
              <w:top w:val="single" w:color="CCCCCC" w:sz="4"/>
              <w:left w:val="single" w:color="CCCCCC" w:sz="4"/>
              <w:bottom w:val="single" w:color="CCCCCC" w:sz="4"/>
              <w:right w:val="single" w:color="CCCCCC" w:sz="4"/>
            </w:tcBorders>
            <w:shd w:fill="D9DCE6" w:val="clear"/>
            <w:tcMar>
              <w:top w:type="dxa" w:w="60"/>
              <w:left w:type="dxa" w:w="100"/>
              <w:bottom w:type="dxa" w:w="60"/>
              <w:right w:type="dxa" w:w="100"/>
            </w:tcMar>
          </w:tcPr>
          <w:p>
            <w:pPr>
              <w:jc w:val="center"/>
            </w:pPr>
            <w:r>
              <w:rPr>
                <w:rFonts w:ascii="Calibri" w:cs="Calibri" w:eastAsia="Calibri" w:hAnsi="Calibri"/>
                <w:b/>
                <w:bCs/>
                <w:color w:val="222222"/>
                <w:sz w:val="18"/>
                <w:szCs w:val="18"/>
              </w:rPr>
              <w:t xml:space="preserve">Industry</w:t>
            </w:r>
          </w:p>
        </w:tc>
        <w:tc>
          <w:tcPr>
            <w:tcW w:type="dxa" w:w="79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B2B SaaS — Project Management &amp; Workflow Automation Software</w:t>
            </w:r>
          </w:p>
        </w:tc>
      </w:tr>
      <w:tr>
        <w:tc>
          <w:tcPr>
            <w:tcW w:type="dxa" w:w="2400"/>
            <w:tcBorders>
              <w:top w:val="single" w:color="CCCCCC" w:sz="4"/>
              <w:left w:val="single" w:color="CCCCCC" w:sz="4"/>
              <w:bottom w:val="single" w:color="CCCCCC" w:sz="4"/>
              <w:right w:val="single" w:color="CCCCCC" w:sz="4"/>
            </w:tcBorders>
            <w:shd w:fill="1F2D5A"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Employees</w:t>
            </w:r>
          </w:p>
        </w:tc>
        <w:tc>
          <w:tcPr>
            <w:tcW w:type="dxa" w:w="7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~250 full-time (200 in the US, 50 in Canada)</w:t>
            </w:r>
          </w:p>
        </w:tc>
      </w:tr>
      <w:tr>
        <w:tc>
          <w:tcPr>
            <w:tcW w:type="dxa" w:w="2400"/>
            <w:tcBorders>
              <w:top w:val="single" w:color="CCCCCC" w:sz="4"/>
              <w:left w:val="single" w:color="CCCCCC" w:sz="4"/>
              <w:bottom w:val="single" w:color="CCCCCC" w:sz="4"/>
              <w:right w:val="single" w:color="CCCCCC" w:sz="4"/>
            </w:tcBorders>
            <w:shd w:fill="D9DCE6" w:val="clear"/>
            <w:tcMar>
              <w:top w:type="dxa" w:w="60"/>
              <w:left w:type="dxa" w:w="100"/>
              <w:bottom w:type="dxa" w:w="60"/>
              <w:right w:type="dxa" w:w="100"/>
            </w:tcMar>
          </w:tcPr>
          <w:p>
            <w:pPr>
              <w:jc w:val="center"/>
            </w:pPr>
            <w:r>
              <w:rPr>
                <w:rFonts w:ascii="Calibri" w:cs="Calibri" w:eastAsia="Calibri" w:hAnsi="Calibri"/>
                <w:b/>
                <w:bCs/>
                <w:color w:val="222222"/>
                <w:sz w:val="18"/>
                <w:szCs w:val="18"/>
              </w:rPr>
              <w:t xml:space="preserve">Customers</w:t>
            </w:r>
          </w:p>
        </w:tc>
        <w:tc>
          <w:tcPr>
            <w:tcW w:type="dxa" w:w="79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~1,100 active B2B clients; primarily law firms, accounting firms, and consultancies</w:t>
            </w:r>
          </w:p>
        </w:tc>
      </w:tr>
      <w:tr>
        <w:tc>
          <w:tcPr>
            <w:tcW w:type="dxa" w:w="2400"/>
            <w:tcBorders>
              <w:top w:val="single" w:color="CCCCCC" w:sz="4"/>
              <w:left w:val="single" w:color="CCCCCC" w:sz="4"/>
              <w:bottom w:val="single" w:color="CCCCCC" w:sz="4"/>
              <w:right w:val="single" w:color="CCCCCC" w:sz="4"/>
            </w:tcBorders>
            <w:shd w:fill="1F2D5A"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Annual Revenue</w:t>
            </w:r>
          </w:p>
        </w:tc>
        <w:tc>
          <w:tcPr>
            <w:tcW w:type="dxa" w:w="7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~$42M ARR (Annual Recurring Revenue)</w:t>
            </w:r>
          </w:p>
        </w:tc>
      </w:tr>
      <w:tr>
        <w:tc>
          <w:tcPr>
            <w:tcW w:type="dxa" w:w="2400"/>
            <w:tcBorders>
              <w:top w:val="single" w:color="CCCCCC" w:sz="4"/>
              <w:left w:val="single" w:color="CCCCCC" w:sz="4"/>
              <w:bottom w:val="single" w:color="CCCCCC" w:sz="4"/>
              <w:right w:val="single" w:color="CCCCCC" w:sz="4"/>
            </w:tcBorders>
            <w:shd w:fill="D9DCE6" w:val="clear"/>
            <w:tcMar>
              <w:top w:type="dxa" w:w="60"/>
              <w:left w:type="dxa" w:w="100"/>
              <w:bottom w:type="dxa" w:w="60"/>
              <w:right w:type="dxa" w:w="100"/>
            </w:tcMar>
          </w:tcPr>
          <w:p>
            <w:pPr>
              <w:jc w:val="center"/>
            </w:pPr>
            <w:r>
              <w:rPr>
                <w:rFonts w:ascii="Calibri" w:cs="Calibri" w:eastAsia="Calibri" w:hAnsi="Calibri"/>
                <w:b/>
                <w:bCs/>
                <w:color w:val="222222"/>
                <w:sz w:val="18"/>
                <w:szCs w:val="18"/>
              </w:rPr>
              <w:t xml:space="preserve">Business Model</w:t>
            </w:r>
          </w:p>
        </w:tc>
        <w:tc>
          <w:tcPr>
            <w:tcW w:type="dxa" w:w="79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SaaS subscription — monthly and annual plans; tiered by seat count and feature access</w:t>
            </w:r>
          </w:p>
        </w:tc>
      </w:tr>
      <w:tr>
        <w:tc>
          <w:tcPr>
            <w:tcW w:type="dxa" w:w="2400"/>
            <w:tcBorders>
              <w:top w:val="single" w:color="CCCCCC" w:sz="4"/>
              <w:left w:val="single" w:color="CCCCCC" w:sz="4"/>
              <w:bottom w:val="single" w:color="CCCCCC" w:sz="4"/>
              <w:right w:val="single" w:color="CCCCCC" w:sz="4"/>
            </w:tcBorders>
            <w:shd w:fill="1F2D5A"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Ownership</w:t>
            </w:r>
          </w:p>
        </w:tc>
        <w:tc>
          <w:tcPr>
            <w:tcW w:type="dxa" w:w="7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Privately held; Series B funded ($28M raise, 2022); under consideration for acquisition or Series C in 2027</w:t>
            </w:r>
          </w:p>
        </w:tc>
      </w:tr>
    </w:tbl>
    <w:p>
      <w:pPr>
        <w:spacing w:after="0" w:before="80"/>
      </w:pPr>
      <w:r>
        <w:t xml:space="preserve"/>
      </w:r>
    </w:p>
    <w:p>
      <w:pPr>
        <w:pBdr>
          <w:bottom w:val="single" w:color="1F2D5A" w:sz="8" w:space="3"/>
        </w:pBdr>
        <w:spacing w:after="80" w:before="220"/>
      </w:pPr>
      <w:r>
        <w:rPr>
          <w:rFonts w:ascii="Calibri" w:cs="Calibri" w:eastAsia="Calibri" w:hAnsi="Calibri"/>
          <w:b/>
          <w:bCs/>
          <w:color w:val="1F2D5A"/>
          <w:sz w:val="22"/>
          <w:szCs w:val="22"/>
        </w:rPr>
        <w:t xml:space="preserve">2. PRODUCTS &amp; SERVICES</w:t>
      </w:r>
    </w:p>
    <w:p>
      <w:pPr>
        <w:spacing w:after="60" w:before="60"/>
      </w:pPr>
      <w:r>
        <w:rPr>
          <w:rFonts w:ascii="Calibri" w:cs="Calibri" w:eastAsia="Calibri" w:hAnsi="Calibri"/>
          <w:b w:val="false"/>
          <w:bCs w:val="false"/>
          <w:i w:val="false"/>
          <w:iCs w:val="false"/>
          <w:color w:val="222222"/>
          <w:sz w:val="20"/>
          <w:szCs w:val="20"/>
        </w:rPr>
        <w:t xml:space="preserve">TechBridge Solutions offers two core software products, both delivered as multi-tenant cloud applications hosted on Amazon Web Services (AWS):</w:t>
      </w:r>
    </w:p>
    <w:p>
      <w:pPr>
        <w:spacing w:after="0" w:before="30"/>
      </w:pPr>
      <w:r>
        <w:t xml:space="preserve"/>
      </w:r>
    </w:p>
    <w:p>
      <w:pPr>
        <w:spacing w:after="50" w:before="140"/>
      </w:pPr>
      <w:r>
        <w:rPr>
          <w:rFonts w:ascii="Calibri" w:cs="Calibri" w:eastAsia="Calibri" w:hAnsi="Calibri"/>
          <w:b/>
          <w:bCs/>
          <w:color w:val="2C5F8A"/>
          <w:sz w:val="20"/>
          <w:szCs w:val="20"/>
        </w:rPr>
        <w:t xml:space="preserve">TechBridge Connect (Flagship Product)</w:t>
      </w:r>
    </w:p>
    <w:p>
      <w:pPr>
        <w:spacing w:after="60" w:before="60"/>
      </w:pPr>
      <w:r>
        <w:rPr>
          <w:rFonts w:ascii="Calibri" w:cs="Calibri" w:eastAsia="Calibri" w:hAnsi="Calibri"/>
          <w:b w:val="false"/>
          <w:bCs w:val="false"/>
          <w:i w:val="false"/>
          <w:iCs w:val="false"/>
          <w:color w:val="222222"/>
          <w:sz w:val="20"/>
          <w:szCs w:val="20"/>
        </w:rPr>
        <w:t xml:space="preserve">A cloud-hosted project management platform used by professional services firms to manage client engagements, assign tasks, track billable hours, and generate client-facing reports. Connect stores sensitive client data including engagement details, billing records, and time entries. As of Q2 2026, Connect has approximately 85,000 end users across 900 client organizations.</w:t>
      </w:r>
    </w:p>
    <w:p>
      <w:pPr>
        <w:spacing w:after="50" w:before="140"/>
      </w:pPr>
      <w:r>
        <w:rPr>
          <w:rFonts w:ascii="Calibri" w:cs="Calibri" w:eastAsia="Calibri" w:hAnsi="Calibri"/>
          <w:b/>
          <w:bCs/>
          <w:color w:val="2C5F8A"/>
          <w:sz w:val="20"/>
          <w:szCs w:val="20"/>
        </w:rPr>
        <w:t xml:space="preserve">TechBridge Flow (Secondary Product — Launched 2023)</w:t>
      </w:r>
    </w:p>
    <w:p>
      <w:pPr>
        <w:spacing w:after="60" w:before="60"/>
      </w:pPr>
      <w:r>
        <w:rPr>
          <w:rFonts w:ascii="Calibri" w:cs="Calibri" w:eastAsia="Calibri" w:hAnsi="Calibri"/>
          <w:b w:val="false"/>
          <w:bCs w:val="false"/>
          <w:i w:val="false"/>
          <w:iCs w:val="false"/>
          <w:color w:val="222222"/>
          <w:sz w:val="20"/>
          <w:szCs w:val="20"/>
        </w:rPr>
        <w:t xml:space="preserve">A workflow automation tool that integrates with Connect and third-party applications (Salesforce, Microsoft 365, QuickBooks) via REST APIs. Flow is used by ~180 client organizations and handles data exchange between TechBridge systems and clients' external platforms. Its API integrations create additional third-party risk exposure.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C5F8A" w:sz="18"/>
              <w:bottom w:val="nil"/>
              <w:right w:val="nil"/>
            </w:tcBorders>
            <w:shd w:fill="E8F0FB" w:val="clear"/>
            <w:tcMar>
              <w:top w:type="dxa" w:w="80"/>
              <w:left w:type="dxa" w:w="160"/>
              <w:bottom w:type="dxa" w:w="80"/>
              <w:right w:type="dxa" w:w="160"/>
            </w:tcMar>
          </w:tcPr>
          <w:p>
            <w:r>
              <w:rPr>
                <w:rFonts w:ascii="Calibri" w:cs="Calibri" w:eastAsia="Calibri" w:hAnsi="Calibri"/>
                <w:b/>
                <w:bCs/>
                <w:color w:val="2C5F8A"/>
                <w:sz w:val="19"/>
                <w:szCs w:val="19"/>
              </w:rPr>
              <w:t xml:space="preserve">Why This Matters for GRC</w:t>
            </w:r>
          </w:p>
          <w:p>
            <w:pPr>
              <w:spacing w:before="30"/>
            </w:pPr>
            <w:r>
              <w:rPr>
                <w:rFonts w:ascii="Calibri" w:cs="Calibri" w:eastAsia="Calibri" w:hAnsi="Calibri"/>
                <w:color w:val="333333"/>
                <w:sz w:val="19"/>
                <w:szCs w:val="19"/>
              </w:rPr>
              <w:t xml:space="preserve">Both products handle sensitive client and end-user data at scale. A data breach or prolonged outage would directly impact 1,100 client businesses and ~85,000 end users — creating significant legal, reputational, and financial exposure. This is the primary driver behind the risk ratings assigned in Projects 1 and 4.</w:t>
            </w:r>
          </w:p>
        </w:tc>
      </w:tr>
    </w:tbl>
    <w:p>
      <w:pPr>
        <w:spacing w:after="0" w:before="80"/>
      </w:pPr>
      <w:r>
        <w:t xml:space="preserve"/>
      </w:r>
    </w:p>
    <w:p>
      <w:pPr>
        <w:pBdr>
          <w:bottom w:val="single" w:color="1F2D5A" w:sz="8" w:space="3"/>
        </w:pBdr>
        <w:spacing w:after="80" w:before="220"/>
      </w:pPr>
      <w:r>
        <w:rPr>
          <w:rFonts w:ascii="Calibri" w:cs="Calibri" w:eastAsia="Calibri" w:hAnsi="Calibri"/>
          <w:b/>
          <w:bCs/>
          <w:color w:val="1F2D5A"/>
          <w:sz w:val="22"/>
          <w:szCs w:val="22"/>
        </w:rPr>
        <w:t xml:space="preserve">3. TECHNOLOGY ENVIRONMENT</w:t>
      </w:r>
    </w:p>
    <w:p>
      <w:pPr>
        <w:spacing w:after="60" w:before="60"/>
      </w:pPr>
      <w:r>
        <w:rPr>
          <w:rFonts w:ascii="Calibri" w:cs="Calibri" w:eastAsia="Calibri" w:hAnsi="Calibri"/>
          <w:b w:val="false"/>
          <w:bCs w:val="false"/>
          <w:i w:val="false"/>
          <w:iCs w:val="false"/>
          <w:color w:val="222222"/>
          <w:sz w:val="20"/>
          <w:szCs w:val="20"/>
        </w:rPr>
        <w:t xml:space="preserve">Understanding TechBridge's technology stack is essential for scoping the assessment and justifying control priorities. The following summarizes the key systems and infrastructure:</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940"/>
      </w:tblGrid>
      <w:tr>
        <w:tc>
          <w:tcPr>
            <w:tcW w:type="dxa" w:w="260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System / Layer</w:t>
            </w:r>
          </w:p>
        </w:tc>
        <w:tc>
          <w:tcPr>
            <w:tcW w:type="dxa" w:w="280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Technology Used</w:t>
            </w:r>
          </w:p>
        </w:tc>
        <w:tc>
          <w:tcPr>
            <w:tcW w:type="dxa" w:w="494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Security Relevance</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Cloud Hosting</w:t>
            </w:r>
          </w:p>
        </w:tc>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AWS (us-east-1, ca-central-1)</w:t>
            </w:r>
          </w:p>
        </w:tc>
        <w:tc>
          <w:tcPr>
            <w:tcW w:type="dxa" w:w="49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All production systems hosted on AWS. Shared responsibility model applies — TechBridge owns application and data security; AWS owns physical and hypervisor layers.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Identity &amp; Access</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Microsoft Entra ID (Azure AD)</w:t>
            </w:r>
          </w:p>
        </w:tc>
        <w:tc>
          <w:tcPr>
            <w:tcW w:type="dxa" w:w="4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Manages employee SSO and access to internal tools. MFA is configured but not enforced for all users — a key finding in the audit report.</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Endpoint Management</w:t>
            </w:r>
          </w:p>
        </w:tc>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Microsoft Intune (partial rollout)</w:t>
            </w:r>
          </w:p>
        </w:tc>
        <w:tc>
          <w:tcPr>
            <w:tcW w:type="dxa" w:w="49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~60% of endpoints enrolled in Intune for policy enforcement. Remaining 40% are BYOD or contractor devices with no MDM controls.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Email &amp; Productivity</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Microsoft 365 (E3 License)</w:t>
            </w:r>
          </w:p>
        </w:tc>
        <w:tc>
          <w:tcPr>
            <w:tcW w:type="dxa" w:w="4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Primary communication and document platform. E3 license does not include advanced threat protection (Defender P2) — limits phishing detection capability.</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Customer Data Storage</w:t>
            </w:r>
          </w:p>
        </w:tc>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AWS RDS (PostgreSQL)</w:t>
            </w:r>
          </w:p>
        </w:tc>
        <w:tc>
          <w:tcPr>
            <w:tcW w:type="dxa" w:w="49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Stores all Connect platform client and end-user data. Encrypted at rest (AES-256). Access controlled via IAM roles but access reviews have not been conducted in 14+ months.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File Storage</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AWS S3 + SharePoint Online</w:t>
            </w:r>
          </w:p>
        </w:tc>
        <w:tc>
          <w:tcPr>
            <w:tcW w:type="dxa" w:w="4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S3 stores client report exports and system backups. SharePoint used for internal documents. S3 bucket policies reviewed; no public buckets. SharePoint permissions not audited.</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SIEM / Monitoring</w:t>
            </w:r>
          </w:p>
        </w:tc>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None currently deployed</w:t>
            </w:r>
          </w:p>
        </w:tc>
        <w:tc>
          <w:tcPr>
            <w:tcW w:type="dxa" w:w="49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 centralized log aggregation or SIEM in place. AWS CloudTrail is enabled but logs are not reviewed on a regular cadence — a significant detection gap.</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Ticketing / ITSM</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Jira Service Management</w:t>
            </w:r>
          </w:p>
        </w:tc>
        <w:tc>
          <w:tcPr>
            <w:tcW w:type="dxa" w:w="4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Used for internal IT and engineering support tickets. No formal change management process documented.</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Source Code</w:t>
            </w:r>
          </w:p>
        </w:tc>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GitHub Enterprise</w:t>
            </w:r>
          </w:p>
        </w:tc>
        <w:tc>
          <w:tcPr>
            <w:tcW w:type="dxa" w:w="49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All product source code stored in GitHub. Branch protection enabled on main branches. Security scanning (Dependabot) enabled but findings are not formally tracked.</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VPN</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Cisco AnyConnect</w:t>
            </w:r>
          </w:p>
        </w:tc>
        <w:tc>
          <w:tcPr>
            <w:tcW w:type="dxa" w:w="4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Available for remote access but not mandatory. Approximately 35% of remote employees bypass VPN when accessing internal systems.</w:t>
            </w:r>
          </w:p>
        </w:tc>
      </w:tr>
    </w:tbl>
    <w:p>
      <w:pPr>
        <w:spacing w:after="0" w:before="80"/>
      </w:pPr>
      <w:r>
        <w:t xml:space="preserve"/>
      </w:r>
    </w:p>
    <w:p>
      <w:pPr>
        <w:pBdr>
          <w:bottom w:val="single" w:color="1F2D5A" w:sz="8" w:space="3"/>
        </w:pBdr>
        <w:spacing w:after="80" w:before="220"/>
      </w:pPr>
      <w:r>
        <w:rPr>
          <w:rFonts w:ascii="Calibri" w:cs="Calibri" w:eastAsia="Calibri" w:hAnsi="Calibri"/>
          <w:b/>
          <w:bCs/>
          <w:color w:val="1F2D5A"/>
          <w:sz w:val="22"/>
          <w:szCs w:val="22"/>
        </w:rPr>
        <w:t xml:space="preserve">4. DATA HANDLED &amp; CLASSIFICATION</w:t>
      </w:r>
    </w:p>
    <w:p>
      <w:pPr>
        <w:spacing w:after="60" w:before="60"/>
      </w:pPr>
      <w:r>
        <w:rPr>
          <w:rFonts w:ascii="Calibri" w:cs="Calibri" w:eastAsia="Calibri" w:hAnsi="Calibri"/>
          <w:b w:val="false"/>
          <w:bCs w:val="false"/>
          <w:i w:val="false"/>
          <w:iCs w:val="false"/>
          <w:color w:val="222222"/>
          <w:sz w:val="20"/>
          <w:szCs w:val="20"/>
        </w:rPr>
        <w:t xml:space="preserve">TechBridge processes several categories of data across its products and internal operations. The sensitivity of this data directly informs the risk ratings in the Risk Register and the severity of findings in the Audit Report.</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3140"/>
      </w:tblGrid>
      <w:tr>
        <w:tc>
          <w:tcPr>
            <w:tcW w:type="dxa" w:w="200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Data Category</w:t>
            </w:r>
          </w:p>
        </w:tc>
        <w:tc>
          <w:tcPr>
            <w:tcW w:type="dxa" w:w="260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Examples</w:t>
            </w:r>
          </w:p>
        </w:tc>
        <w:tc>
          <w:tcPr>
            <w:tcW w:type="dxa" w:w="260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Classification</w:t>
            </w:r>
          </w:p>
        </w:tc>
        <w:tc>
          <w:tcPr>
            <w:tcW w:type="dxa" w:w="314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Why It Matters</w:t>
            </w:r>
          </w:p>
        </w:tc>
      </w:tr>
      <w:tr>
        <w:tc>
          <w:tcPr>
            <w:tcW w:type="dxa" w:w="20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Client Business Data</w:t>
            </w:r>
          </w:p>
        </w:tc>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Engagement names, billing rates, project milestones, client contact info</w:t>
            </w:r>
          </w:p>
        </w:tc>
        <w:tc>
          <w:tcPr>
            <w:tcW w:type="dxa" w:w="2600"/>
            <w:tcBorders>
              <w:top w:val="single" w:color="CCCCCC" w:sz="4"/>
              <w:left w:val="single" w:color="CCCCCC" w:sz="4"/>
              <w:bottom w:val="single" w:color="CCCCCC" w:sz="4"/>
              <w:right w:val="single" w:color="CCCCCC" w:sz="4"/>
            </w:tcBorders>
            <w:shd w:fill="FEF3CD" w:val="clear"/>
            <w:tcMar>
              <w:top w:type="dxa" w:w="60"/>
              <w:left w:type="dxa" w:w="100"/>
              <w:bottom w:type="dxa" w:w="60"/>
              <w:right w:type="dxa" w:w="100"/>
            </w:tcMar>
          </w:tcPr>
          <w:p>
            <w:pPr>
              <w:jc w:val="center"/>
            </w:pPr>
            <w:r>
              <w:rPr>
                <w:rFonts w:ascii="Calibri" w:cs="Calibri" w:eastAsia="Calibri" w:hAnsi="Calibri"/>
                <w:b/>
                <w:bCs/>
                <w:color w:val="7D5A00"/>
                <w:sz w:val="18"/>
                <w:szCs w:val="18"/>
              </w:rPr>
              <w:t xml:space="preserve">Confidential</w:t>
            </w:r>
          </w:p>
        </w:tc>
        <w:tc>
          <w:tcPr>
            <w:tcW w:type="dxa" w:w="31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Contractually protected; breach would violate client MSAs and could trigger litigation.</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End-User PII</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Full names, email addresses, job titles of 85,000 platform users</w:t>
            </w:r>
          </w:p>
        </w:tc>
        <w:tc>
          <w:tcPr>
            <w:tcW w:type="dxa" w:w="2600"/>
            <w:tcBorders>
              <w:top w:val="single" w:color="CCCCCC" w:sz="4"/>
              <w:left w:val="single" w:color="CCCCCC" w:sz="4"/>
              <w:bottom w:val="single" w:color="CCCCCC" w:sz="4"/>
              <w:right w:val="single" w:color="CCCCCC" w:sz="4"/>
            </w:tcBorders>
            <w:shd w:fill="FEF3CD" w:val="clear"/>
            <w:tcMar>
              <w:top w:type="dxa" w:w="60"/>
              <w:left w:type="dxa" w:w="100"/>
              <w:bottom w:type="dxa" w:w="60"/>
              <w:right w:type="dxa" w:w="100"/>
            </w:tcMar>
          </w:tcPr>
          <w:p>
            <w:pPr>
              <w:jc w:val="center"/>
            </w:pPr>
            <w:r>
              <w:rPr>
                <w:rFonts w:ascii="Calibri" w:cs="Calibri" w:eastAsia="Calibri" w:hAnsi="Calibri"/>
                <w:b/>
                <w:bCs/>
                <w:color w:val="7D5A00"/>
                <w:sz w:val="18"/>
                <w:szCs w:val="18"/>
              </w:rPr>
              <w:t xml:space="preserve">Confidential</w:t>
            </w:r>
          </w:p>
        </w:tc>
        <w:tc>
          <w:tcPr>
            <w:tcW w:type="dxa" w:w="31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Subject to CCPA (California users) and PIPEDA (Canadian users). Breach triggers mandatory notification obligations.</w:t>
            </w:r>
          </w:p>
        </w:tc>
      </w:tr>
      <w:tr>
        <w:tc>
          <w:tcPr>
            <w:tcW w:type="dxa" w:w="20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Employee HR Data</w:t>
            </w:r>
          </w:p>
        </w:tc>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Salaries, performance reviews, SSNs, benefits enrollment</w:t>
            </w:r>
          </w:p>
        </w:tc>
        <w:tc>
          <w:tcPr>
            <w:tcW w:type="dxa" w:w="2600"/>
            <w:tcBorders>
              <w:top w:val="single" w:color="CCCCCC" w:sz="4"/>
              <w:left w:val="single" w:color="CCCCCC" w:sz="4"/>
              <w:bottom w:val="single" w:color="CCCCCC" w:sz="4"/>
              <w:right w:val="single" w:color="CCCCCC" w:sz="4"/>
            </w:tcBorders>
            <w:shd w:fill="F2D7D5" w:val="clear"/>
            <w:tcMar>
              <w:top w:type="dxa" w:w="60"/>
              <w:left w:type="dxa" w:w="100"/>
              <w:bottom w:type="dxa" w:w="60"/>
              <w:right w:type="dxa" w:w="100"/>
            </w:tcMar>
          </w:tcPr>
          <w:p>
            <w:pPr>
              <w:jc w:val="center"/>
            </w:pPr>
            <w:r>
              <w:rPr>
                <w:rFonts w:ascii="Calibri" w:cs="Calibri" w:eastAsia="Calibri" w:hAnsi="Calibri"/>
                <w:b/>
                <w:bCs/>
                <w:color w:val="8B0000"/>
                <w:sz w:val="18"/>
                <w:szCs w:val="18"/>
              </w:rPr>
              <w:t xml:space="preserve">Restricted</w:t>
            </w:r>
          </w:p>
        </w:tc>
        <w:tc>
          <w:tcPr>
            <w:tcW w:type="dxa" w:w="31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Highly sensitive; exposure creates legal liability and employee trust issues.</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Financial Records</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ARR, invoices, payment processing records, QuickBooks data</w:t>
            </w:r>
          </w:p>
        </w:tc>
        <w:tc>
          <w:tcPr>
            <w:tcW w:type="dxa" w:w="2600"/>
            <w:tcBorders>
              <w:top w:val="single" w:color="CCCCCC" w:sz="4"/>
              <w:left w:val="single" w:color="CCCCCC" w:sz="4"/>
              <w:bottom w:val="single" w:color="CCCCCC" w:sz="4"/>
              <w:right w:val="single" w:color="CCCCCC" w:sz="4"/>
            </w:tcBorders>
            <w:shd w:fill="FEF3CD" w:val="clear"/>
            <w:tcMar>
              <w:top w:type="dxa" w:w="60"/>
              <w:left w:type="dxa" w:w="100"/>
              <w:bottom w:type="dxa" w:w="60"/>
              <w:right w:type="dxa" w:w="100"/>
            </w:tcMar>
          </w:tcPr>
          <w:p>
            <w:pPr>
              <w:jc w:val="center"/>
            </w:pPr>
            <w:r>
              <w:rPr>
                <w:rFonts w:ascii="Calibri" w:cs="Calibri" w:eastAsia="Calibri" w:hAnsi="Calibri"/>
                <w:b/>
                <w:bCs/>
                <w:color w:val="7D5A00"/>
                <w:sz w:val="18"/>
                <w:szCs w:val="18"/>
              </w:rPr>
              <w:t xml:space="preserve">Confidential</w:t>
            </w:r>
          </w:p>
        </w:tc>
        <w:tc>
          <w:tcPr>
            <w:tcW w:type="dxa" w:w="31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Relevant to audit readiness and potential M&amp;A due diligence in 2027.</w:t>
            </w:r>
          </w:p>
        </w:tc>
      </w:tr>
      <w:tr>
        <w:tc>
          <w:tcPr>
            <w:tcW w:type="dxa" w:w="20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Source Code &amp; IP</w:t>
            </w:r>
          </w:p>
        </w:tc>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Product source code, API keys, architecture documentation</w:t>
            </w:r>
          </w:p>
        </w:tc>
        <w:tc>
          <w:tcPr>
            <w:tcW w:type="dxa" w:w="2600"/>
            <w:tcBorders>
              <w:top w:val="single" w:color="CCCCCC" w:sz="4"/>
              <w:left w:val="single" w:color="CCCCCC" w:sz="4"/>
              <w:bottom w:val="single" w:color="CCCCCC" w:sz="4"/>
              <w:right w:val="single" w:color="CCCCCC" w:sz="4"/>
            </w:tcBorders>
            <w:shd w:fill="F2D7D5" w:val="clear"/>
            <w:tcMar>
              <w:top w:type="dxa" w:w="60"/>
              <w:left w:type="dxa" w:w="100"/>
              <w:bottom w:type="dxa" w:w="60"/>
              <w:right w:type="dxa" w:w="100"/>
            </w:tcMar>
          </w:tcPr>
          <w:p>
            <w:pPr>
              <w:jc w:val="center"/>
            </w:pPr>
            <w:r>
              <w:rPr>
                <w:rFonts w:ascii="Calibri" w:cs="Calibri" w:eastAsia="Calibri" w:hAnsi="Calibri"/>
                <w:b/>
                <w:bCs/>
                <w:color w:val="8B0000"/>
                <w:sz w:val="18"/>
                <w:szCs w:val="18"/>
              </w:rPr>
              <w:t xml:space="preserve">Restricted</w:t>
            </w:r>
          </w:p>
        </w:tc>
        <w:tc>
          <w:tcPr>
            <w:tcW w:type="dxa" w:w="31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Core competitive asset; theft or exposure could enable competitor replication or API abuse.</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System Logs &amp; Audit Trails</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CloudTrail logs, application event logs, access logs</w:t>
            </w:r>
          </w:p>
        </w:tc>
        <w:tc>
          <w:tcPr>
            <w:tcW w:type="dxa" w:w="2600"/>
            <w:tcBorders>
              <w:top w:val="single" w:color="CCCCCC" w:sz="4"/>
              <w:left w:val="single" w:color="CCCCCC" w:sz="4"/>
              <w:bottom w:val="single" w:color="CCCCCC" w:sz="4"/>
              <w:right w:val="single" w:color="CCCCCC" w:sz="4"/>
            </w:tcBorders>
            <w:shd w:fill="D5E8F7" w:val="clear"/>
            <w:tcMar>
              <w:top w:type="dxa" w:w="60"/>
              <w:left w:type="dxa" w:w="100"/>
              <w:bottom w:type="dxa" w:w="60"/>
              <w:right w:type="dxa" w:w="100"/>
            </w:tcMar>
          </w:tcPr>
          <w:p>
            <w:pPr>
              <w:jc w:val="center"/>
            </w:pPr>
            <w:r>
              <w:rPr>
                <w:rFonts w:ascii="Calibri" w:cs="Calibri" w:eastAsia="Calibri" w:hAnsi="Calibri"/>
                <w:b/>
                <w:bCs/>
                <w:color w:val="1F2D5A"/>
                <w:sz w:val="18"/>
                <w:szCs w:val="18"/>
              </w:rPr>
              <w:t xml:space="preserve">Internal</w:t>
            </w:r>
          </w:p>
        </w:tc>
        <w:tc>
          <w:tcPr>
            <w:tcW w:type="dxa" w:w="31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Critical for incident response and forensic investigation; retention and integrity must be ensured.</w:t>
            </w:r>
          </w:p>
        </w:tc>
      </w:tr>
      <w:tr>
        <w:tc>
          <w:tcPr>
            <w:tcW w:type="dxa" w:w="20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Marketing &amp; Public Content</w:t>
            </w:r>
          </w:p>
        </w:tc>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Website copy, product brochures, press releases</w:t>
            </w:r>
          </w:p>
        </w:tc>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center"/>
            </w:pPr>
            <w:r>
              <w:rPr>
                <w:rFonts w:ascii="Calibri" w:cs="Calibri" w:eastAsia="Calibri" w:hAnsi="Calibri"/>
                <w:b/>
                <w:bCs/>
                <w:color w:val="1F2D5A"/>
                <w:sz w:val="18"/>
                <w:szCs w:val="18"/>
              </w:rPr>
              <w:t xml:space="preserve">Public</w:t>
            </w:r>
          </w:p>
        </w:tc>
        <w:tc>
          <w:tcPr>
            <w:tcW w:type="dxa" w:w="31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 sensitivity; lowest risk tier.</w:t>
            </w:r>
          </w:p>
        </w:tc>
      </w:tr>
    </w:tbl>
    <w:p>
      <w:pPr>
        <w:spacing w:after="0" w:before="80"/>
      </w:pPr>
      <w:r>
        <w:t xml:space="preserve"/>
      </w:r>
    </w:p>
    <w:p>
      <w:pPr>
        <w:pBdr>
          <w:bottom w:val="single" w:color="1F2D5A" w:sz="8" w:space="3"/>
        </w:pBdr>
        <w:spacing w:after="80" w:before="220"/>
      </w:pPr>
      <w:r>
        <w:rPr>
          <w:rFonts w:ascii="Calibri" w:cs="Calibri" w:eastAsia="Calibri" w:hAnsi="Calibri"/>
          <w:b/>
          <w:bCs/>
          <w:color w:val="1F2D5A"/>
          <w:sz w:val="22"/>
          <w:szCs w:val="22"/>
        </w:rPr>
        <w:t xml:space="preserve">5. REGULATORY &amp; COMPLIANCE ENVIRONMENT</w:t>
      </w:r>
    </w:p>
    <w:p>
      <w:pPr>
        <w:spacing w:after="60" w:before="60"/>
      </w:pPr>
      <w:r>
        <w:rPr>
          <w:rFonts w:ascii="Calibri" w:cs="Calibri" w:eastAsia="Calibri" w:hAnsi="Calibri"/>
          <w:b w:val="false"/>
          <w:bCs w:val="false"/>
          <w:i w:val="false"/>
          <w:iCs w:val="false"/>
          <w:color w:val="222222"/>
          <w:sz w:val="20"/>
          <w:szCs w:val="20"/>
        </w:rPr>
        <w:t xml:space="preserve">TechBridge operates in a regulated environment driven by its data handling practices, customer contractual requirements, and geographic presence. The following obligations directly shape the risk and compliance priorities assessed across all four portfolio projects:</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740"/>
      </w:tblGrid>
      <w:tr>
        <w:tc>
          <w:tcPr>
            <w:tcW w:type="dxa" w:w="240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Regulation / Standard</w:t>
            </w:r>
          </w:p>
        </w:tc>
        <w:tc>
          <w:tcPr>
            <w:tcW w:type="dxa" w:w="320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Why It Applies</w:t>
            </w:r>
          </w:p>
        </w:tc>
        <w:tc>
          <w:tcPr>
            <w:tcW w:type="dxa" w:w="474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Key Requirements Relevant to This Assessment</w:t>
            </w:r>
          </w:p>
        </w:tc>
      </w:tr>
      <w:tr>
        <w:tc>
          <w:tcPr>
            <w:tcW w:type="dxa" w:w="2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CCPA (California Consumer Privacy Act)</w:t>
            </w:r>
          </w:p>
        </w:tc>
        <w:tc>
          <w:tcPr>
            <w:tcW w:type="dxa" w:w="32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~22% of TechBridge's end users are California residents, triggering CCPA applicability for PII handling.</w:t>
            </w:r>
          </w:p>
        </w:tc>
        <w:tc>
          <w:tcPr>
            <w:tcW w:type="dxa" w:w="47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Right to know, right to delete, mandatory breach notification within 72 hours. Requires documented data inventory and access controls.</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PIPEDA (Canada)</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TechBridge has a Canadian subsidiary and ~15% of clients are Canadian organizations.</w:t>
            </w:r>
          </w:p>
        </w:tc>
        <w:tc>
          <w:tcPr>
            <w:tcW w:type="dxa" w:w="47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Requires reasonable security safeguards for personal information; breach reporting to Office of the Privacy Commissioner if risk of significant harm.</w:t>
            </w:r>
          </w:p>
        </w:tc>
      </w:tr>
      <w:tr>
        <w:tc>
          <w:tcPr>
            <w:tcW w:type="dxa" w:w="2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SOC 2 Type II (Customer Requirement)</w:t>
            </w:r>
          </w:p>
        </w:tc>
        <w:tc>
          <w:tcPr>
            <w:tcW w:type="dxa" w:w="32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TechBridge's enterprise clients (primarily law and accounting firms) contractually require evidence of SOC 2 compliance. Currently not certified — gap acknowledged by leadership.</w:t>
            </w:r>
          </w:p>
        </w:tc>
        <w:tc>
          <w:tcPr>
            <w:tcW w:type="dxa" w:w="47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Trust Services Criteria: Security (CC), Availability (A), Confidentiality (C). Gaps in monitoring, access control, and incident response directly block SOC 2 readiness.</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Client MSAs (Master Service Agreements)</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TechBridge's standard client contract includes data security obligations, breach notification requirements (within 48 hours), and the right to audit.</w:t>
            </w:r>
          </w:p>
        </w:tc>
        <w:tc>
          <w:tcPr>
            <w:tcW w:type="dxa" w:w="47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Security controls must be documented and demonstrable. Failure to meet contractual obligations creates breach of contract exposure.</w:t>
            </w:r>
          </w:p>
        </w:tc>
      </w:tr>
      <w:tr>
        <w:tc>
          <w:tcPr>
            <w:tcW w:type="dxa" w:w="24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Cyber Insurance Policy</w:t>
            </w:r>
          </w:p>
        </w:tc>
        <w:tc>
          <w:tcPr>
            <w:tcW w:type="dxa" w:w="32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TechBridge holds a $5M cyber liability policy (renews January 2027). Insurer requires documented IRP, MFA on all accounts, and tested backups as policy conditions.</w:t>
            </w:r>
          </w:p>
        </w:tc>
        <w:tc>
          <w:tcPr>
            <w:tcW w:type="dxa" w:w="47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Failure to meet policy conditions may result in claim denial following an incident. These requirements directly motivated Findings 1, 2, and 3 in the Audit Report.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85C00" w:sz="18"/>
              <w:bottom w:val="nil"/>
              <w:right w:val="nil"/>
            </w:tcBorders>
            <w:shd w:fill="FFF3CD" w:val="clear"/>
            <w:tcMar>
              <w:top w:type="dxa" w:w="80"/>
              <w:left w:type="dxa" w:w="160"/>
              <w:bottom w:type="dxa" w:w="80"/>
              <w:right w:type="dxa" w:w="160"/>
            </w:tcMar>
          </w:tcPr>
          <w:p>
            <w:r>
              <w:rPr>
                <w:rFonts w:ascii="Calibri" w:cs="Calibri" w:eastAsia="Calibri" w:hAnsi="Calibri"/>
                <w:b/>
                <w:bCs/>
                <w:color w:val="B85C00"/>
                <w:sz w:val="19"/>
                <w:szCs w:val="19"/>
              </w:rPr>
              <w:t xml:space="preserve">SOC 2 Gap — Strategic Business Context</w:t>
            </w:r>
          </w:p>
          <w:p>
            <w:pPr>
              <w:spacing w:before="30"/>
            </w:pPr>
            <w:r>
              <w:rPr>
                <w:rFonts w:ascii="Calibri" w:cs="Calibri" w:eastAsia="Calibri" w:hAnsi="Calibri"/>
                <w:color w:val="333333"/>
                <w:sz w:val="19"/>
                <w:szCs w:val="19"/>
              </w:rPr>
              <w:t xml:space="preserve">TechBridge's three largest enterprise clients (representing ~18% of ARR) have each issued renewal notices contingent on TechBridge producing a SOC 2 Type II report by Q2 2027. This creates a hard business deadline that elevates the urgency of every security gap identified in this portfolio. The CISO has been directed by the CEO to prioritize SOC 2 readiness as a top-3 company objective for 2026–2027.</w:t>
            </w:r>
          </w:p>
        </w:tc>
      </w:tr>
    </w:tbl>
    <w:p>
      <w:pPr>
        <w:spacing w:after="0" w:before="80"/>
      </w:pPr>
      <w:r>
        <w:t xml:space="preserve"/>
      </w:r>
    </w:p>
    <w:p>
      <w:pPr>
        <w:pBdr>
          <w:bottom w:val="single" w:color="1F2D5A" w:sz="8" w:space="3"/>
        </w:pBdr>
        <w:spacing w:after="80" w:before="220"/>
      </w:pPr>
      <w:r>
        <w:rPr>
          <w:rFonts w:ascii="Calibri" w:cs="Calibri" w:eastAsia="Calibri" w:hAnsi="Calibri"/>
          <w:b/>
          <w:bCs/>
          <w:color w:val="1F2D5A"/>
          <w:sz w:val="22"/>
          <w:szCs w:val="22"/>
        </w:rPr>
        <w:t xml:space="preserve">6. SECURITY &amp; IT ORGANIZATIONAL STRUCTURE</w:t>
      </w:r>
    </w:p>
    <w:p>
      <w:pPr>
        <w:spacing w:after="60" w:before="60"/>
      </w:pPr>
      <w:r>
        <w:rPr>
          <w:rFonts w:ascii="Calibri" w:cs="Calibri" w:eastAsia="Calibri" w:hAnsi="Calibri"/>
          <w:b w:val="false"/>
          <w:bCs w:val="false"/>
          <w:i w:val="false"/>
          <w:iCs w:val="false"/>
          <w:color w:val="222222"/>
          <w:sz w:val="20"/>
          <w:szCs w:val="20"/>
        </w:rPr>
        <w:t xml:space="preserve">Understanding who owns security at TechBridge is essential for assessing risk accountability and identifying governance gaps. The following reflects the current state as of the assessment date:</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940"/>
      </w:tblGrid>
      <w:tr>
        <w:tc>
          <w:tcPr>
            <w:tcW w:type="dxa" w:w="260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Role</w:t>
            </w:r>
          </w:p>
        </w:tc>
        <w:tc>
          <w:tcPr>
            <w:tcW w:type="dxa" w:w="280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Person / Status</w:t>
            </w:r>
          </w:p>
        </w:tc>
        <w:tc>
          <w:tcPr>
            <w:tcW w:type="dxa" w:w="4940"/>
            <w:tcBorders>
              <w:top w:val="single" w:color="1F2D5A" w:sz="4"/>
              <w:left w:val="single" w:color="1F2D5A" w:sz="4"/>
              <w:bottom w:val="single" w:color="1F2D5A" w:sz="4"/>
              <w:right w:val="single" w:color="1F2D5A" w:sz="4"/>
            </w:tcBorders>
            <w:shd w:fill="1F2D5A"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Relevance to Assessment</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Chief Information Security Officer (CISO)</w:t>
            </w:r>
          </w:p>
        </w:tc>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C5F8A"/>
                <w:sz w:val="18"/>
                <w:szCs w:val="18"/>
              </w:rPr>
              <w:t xml:space="preserve">Marcus Reid (hired Jan 2026 — 6 months tenure)</w:t>
            </w:r>
          </w:p>
        </w:tc>
        <w:tc>
          <w:tcPr>
            <w:tcW w:type="dxa" w:w="49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First dedicated CISO in company history. Hired specifically to drive SOC 2 readiness. Many foundational controls are absent because no security leadership existed prior to 2026.</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IT Security Team</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C5F8A"/>
                <w:sz w:val="18"/>
                <w:szCs w:val="18"/>
              </w:rPr>
              <w:t xml:space="preserve">2 FTE (1 Security Engineer, 1 IT Admin)</w:t>
            </w:r>
          </w:p>
        </w:tc>
        <w:tc>
          <w:tcPr>
            <w:tcW w:type="dxa" w:w="4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Severely understaffed for a company of 250 employees handling sensitive client data. Resource constraint is cited as the root cause for multiple findings.</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IT Operations</w:t>
            </w:r>
          </w:p>
        </w:tc>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C5F8A"/>
                <w:sz w:val="18"/>
                <w:szCs w:val="18"/>
              </w:rPr>
              <w:t xml:space="preserve">4 FTE</w:t>
            </w:r>
          </w:p>
        </w:tc>
        <w:tc>
          <w:tcPr>
            <w:tcW w:type="dxa" w:w="49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Responsible for endpoint management, patching, backups, and network operations. Patch management and backup testing gaps are partly attributable to bandwidth constraints.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Engineering / DevOps</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C5F8A"/>
                <w:sz w:val="18"/>
                <w:szCs w:val="18"/>
              </w:rPr>
              <w:t xml:space="preserve">45 FTE (split between Connect and Flow)</w:t>
            </w:r>
          </w:p>
        </w:tc>
        <w:tc>
          <w:tcPr>
            <w:tcW w:type="dxa" w:w="4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Own the product security posture. Dependabot enabled but no formal AppSec program or secure SDLC policy.</w:t>
            </w:r>
          </w:p>
        </w:tc>
      </w:tr>
      <w:tr>
        <w:tc>
          <w:tcPr>
            <w:tcW w:type="dxa" w:w="26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Legal &amp; Compliance</w:t>
            </w:r>
          </w:p>
        </w:tc>
        <w:tc>
          <w:tcPr>
            <w:tcW w:type="dxa" w:w="280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C5F8A"/>
                <w:sz w:val="18"/>
                <w:szCs w:val="18"/>
              </w:rPr>
              <w:t xml:space="preserve">1 General Counsel (part-time focus on security)</w:t>
            </w:r>
          </w:p>
        </w:tc>
        <w:tc>
          <w:tcPr>
            <w:tcW w:type="dxa" w:w="4940"/>
            <w:tcBorders>
              <w:top w:val="single" w:color="CCCCCC" w:sz="4"/>
              <w:left w:val="single" w:color="CCCCCC" w:sz="4"/>
              <w:bottom w:val="single" w:color="CCCCCC" w:sz="4"/>
              <w:right w:val="single" w:color="CCCCCC" w:sz="4"/>
            </w:tcBorders>
            <w:shd w:fill="F2F4F8" w:val="clear"/>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 dedicated compliance officer. Legal reviews contracts but does not monitor ongoing regulatory obligations.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HR</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C5F8A"/>
                <w:sz w:val="18"/>
                <w:szCs w:val="18"/>
              </w:rPr>
              <w:t xml:space="preserve">3 FTE</w:t>
            </w:r>
          </w:p>
        </w:tc>
        <w:tc>
          <w:tcPr>
            <w:tcW w:type="dxa" w:w="49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Responsible for employee onboarding and offboarding. No formal joiner/mover/leaver (JML) process is in place for system access provisioning and deprovisioning.</w:t>
            </w:r>
          </w:p>
        </w:tc>
      </w:tr>
    </w:tbl>
    <w:p>
      <w:pPr>
        <w:spacing w:after="0" w:before="80"/>
      </w:pPr>
      <w:r>
        <w:t xml:space="preserve"/>
      </w:r>
    </w:p>
    <w:p>
      <w:pPr>
        <w:pBdr>
          <w:bottom w:val="single" w:color="1F2D5A" w:sz="8" w:space="3"/>
        </w:pBdr>
        <w:spacing w:after="80" w:before="220"/>
      </w:pPr>
      <w:r>
        <w:rPr>
          <w:rFonts w:ascii="Calibri" w:cs="Calibri" w:eastAsia="Calibri" w:hAnsi="Calibri"/>
          <w:b/>
          <w:bCs/>
          <w:color w:val="1F2D5A"/>
          <w:sz w:val="22"/>
          <w:szCs w:val="22"/>
        </w:rPr>
        <w:t xml:space="preserve">7. KNOWN RISK ENVIRONMENT &amp; THREAT LANDSCAPE</w:t>
      </w:r>
    </w:p>
    <w:p>
      <w:pPr>
        <w:spacing w:after="60" w:before="60"/>
      </w:pPr>
      <w:r>
        <w:rPr>
          <w:rFonts w:ascii="Calibri" w:cs="Calibri" w:eastAsia="Calibri" w:hAnsi="Calibri"/>
          <w:b w:val="false"/>
          <w:bCs w:val="false"/>
          <w:i w:val="false"/>
          <w:iCs w:val="false"/>
          <w:color w:val="222222"/>
          <w:sz w:val="20"/>
          <w:szCs w:val="20"/>
        </w:rPr>
        <w:t xml:space="preserve">The following factors define the threat landscape for TechBridge Solutions and provide the justification for risk ratings assigned in the Risk Register (Project 1):</w:t>
      </w:r>
    </w:p>
    <w:p>
      <w:pPr>
        <w:spacing w:after="0" w:before="30"/>
      </w:pPr>
      <w:r>
        <w:t xml:space="preserve"/>
      </w:r>
    </w:p>
    <w:p>
      <w:pPr>
        <w:spacing w:after="50" w:before="140"/>
      </w:pPr>
      <w:r>
        <w:rPr>
          <w:rFonts w:ascii="Calibri" w:cs="Calibri" w:eastAsia="Calibri" w:hAnsi="Calibri"/>
          <w:b/>
          <w:bCs/>
          <w:color w:val="2C5F8A"/>
          <w:sz w:val="20"/>
          <w:szCs w:val="20"/>
        </w:rPr>
        <w:t xml:space="preserve">Industry Threat Context</w:t>
      </w:r>
    </w:p>
    <w:p>
      <w:pPr>
        <w:spacing w:after="28" w:before="28"/>
        <w:ind w:left="316"/>
      </w:pPr>
      <w:r>
        <w:rPr>
          <w:rFonts w:ascii="Calibri" w:cs="Calibri" w:eastAsia="Calibri" w:hAnsi="Calibri"/>
          <w:color w:val="2C5F8A"/>
          <w:sz w:val="19"/>
          <w:szCs w:val="19"/>
        </w:rPr>
        <w:t xml:space="preserve">• </w:t>
      </w:r>
      <w:r>
        <w:rPr>
          <w:rFonts w:ascii="Calibri" w:cs="Calibri" w:eastAsia="Calibri" w:hAnsi="Calibri"/>
          <w:color w:val="333333"/>
          <w:sz w:val="19"/>
          <w:szCs w:val="19"/>
        </w:rPr>
        <w:t xml:space="preserve">Professional services firms (TechBridge's primary customer base) are high-value ransomware targets due to the confidential nature of client data and operational dependency on uptime.</w:t>
      </w:r>
    </w:p>
    <w:p>
      <w:pPr>
        <w:spacing w:after="28" w:before="28"/>
        <w:ind w:left="316"/>
      </w:pPr>
      <w:r>
        <w:rPr>
          <w:rFonts w:ascii="Calibri" w:cs="Calibri" w:eastAsia="Calibri" w:hAnsi="Calibri"/>
          <w:color w:val="2C5F8A"/>
          <w:sz w:val="19"/>
          <w:szCs w:val="19"/>
        </w:rPr>
        <w:t xml:space="preserve">• </w:t>
      </w:r>
      <w:r>
        <w:rPr>
          <w:rFonts w:ascii="Calibri" w:cs="Calibri" w:eastAsia="Calibri" w:hAnsi="Calibri"/>
          <w:color w:val="333333"/>
          <w:sz w:val="19"/>
          <w:szCs w:val="19"/>
        </w:rPr>
        <w:t xml:space="preserve">SaaS providers serving legal and financial sectors are frequently targeted by supply chain attacks — a compromise of TechBridge's platform could cascade to 1,100 downstream client organizations.</w:t>
      </w:r>
    </w:p>
    <w:p>
      <w:pPr>
        <w:spacing w:after="28" w:before="28"/>
        <w:ind w:left="316"/>
      </w:pPr>
      <w:r>
        <w:rPr>
          <w:rFonts w:ascii="Calibri" w:cs="Calibri" w:eastAsia="Calibri" w:hAnsi="Calibri"/>
          <w:color w:val="2C5F8A"/>
          <w:sz w:val="19"/>
          <w:szCs w:val="19"/>
        </w:rPr>
        <w:t xml:space="preserve">• </w:t>
      </w:r>
      <w:r>
        <w:rPr>
          <w:rFonts w:ascii="Calibri" w:cs="Calibri" w:eastAsia="Calibri" w:hAnsi="Calibri"/>
          <w:color w:val="333333"/>
          <w:sz w:val="19"/>
          <w:szCs w:val="19"/>
        </w:rPr>
        <w:t xml:space="preserve">Business Email Compromise (BEC) attacks targeting SaaS companies increased 45% YoY in 2025 according to FBI IC3 reporting — relevant given TechBridge's lack of MFA and security awareness training.</w:t>
      </w:r>
    </w:p>
    <w:p>
      <w:pPr>
        <w:spacing w:after="0" w:before="20"/>
      </w:pPr>
      <w:r>
        <w:t xml:space="preserve"/>
      </w:r>
    </w:p>
    <w:p>
      <w:pPr>
        <w:spacing w:after="50" w:before="140"/>
      </w:pPr>
      <w:r>
        <w:rPr>
          <w:rFonts w:ascii="Calibri" w:cs="Calibri" w:eastAsia="Calibri" w:hAnsi="Calibri"/>
          <w:b/>
          <w:bCs/>
          <w:color w:val="2C5F8A"/>
          <w:sz w:val="20"/>
          <w:szCs w:val="20"/>
        </w:rPr>
        <w:t xml:space="preserve">TechBridge-Specific Risk Factors</w:t>
      </w:r>
    </w:p>
    <w:p>
      <w:pPr>
        <w:spacing w:after="28" w:before="28"/>
        <w:ind w:left="316"/>
      </w:pPr>
      <w:r>
        <w:rPr>
          <w:rFonts w:ascii="Calibri" w:cs="Calibri" w:eastAsia="Calibri" w:hAnsi="Calibri"/>
          <w:color w:val="2C5F8A"/>
          <w:sz w:val="19"/>
          <w:szCs w:val="19"/>
        </w:rPr>
        <w:t xml:space="preserve">• </w:t>
      </w:r>
      <w:r>
        <w:rPr>
          <w:rFonts w:ascii="Calibri" w:cs="Calibri" w:eastAsia="Calibri" w:hAnsi="Calibri"/>
          <w:color w:val="333333"/>
          <w:sz w:val="19"/>
          <w:szCs w:val="19"/>
        </w:rPr>
        <w:t xml:space="preserve">SOC 2 Pressure: The hard deadline creates urgency but also risk — rushed implementations without proper testing can introduce new vulnerabilities.</w:t>
      </w:r>
    </w:p>
    <w:p>
      <w:pPr>
        <w:spacing w:after="28" w:before="28"/>
        <w:ind w:left="316"/>
      </w:pPr>
      <w:r>
        <w:rPr>
          <w:rFonts w:ascii="Calibri" w:cs="Calibri" w:eastAsia="Calibri" w:hAnsi="Calibri"/>
          <w:color w:val="2C5F8A"/>
          <w:sz w:val="19"/>
          <w:szCs w:val="19"/>
        </w:rPr>
        <w:t xml:space="preserve">• </w:t>
      </w:r>
      <w:r>
        <w:rPr>
          <w:rFonts w:ascii="Calibri" w:cs="Calibri" w:eastAsia="Calibri" w:hAnsi="Calibri"/>
          <w:color w:val="333333"/>
          <w:sz w:val="19"/>
          <w:szCs w:val="19"/>
        </w:rPr>
        <w:t xml:space="preserve">Rapid Headcount Growth: TechBridge grew from 180 to 250 employees in 18 months. Joiner/mover/leaver access processes have not kept pace, increasing insider threat and orphaned account risk.</w:t>
      </w:r>
    </w:p>
    <w:p>
      <w:pPr>
        <w:spacing w:after="28" w:before="28"/>
        <w:ind w:left="316"/>
      </w:pPr>
      <w:r>
        <w:rPr>
          <w:rFonts w:ascii="Calibri" w:cs="Calibri" w:eastAsia="Calibri" w:hAnsi="Calibri"/>
          <w:color w:val="2C5F8A"/>
          <w:sz w:val="19"/>
          <w:szCs w:val="19"/>
        </w:rPr>
        <w:t xml:space="preserve">• </w:t>
      </w:r>
      <w:r>
        <w:rPr>
          <w:rFonts w:ascii="Calibri" w:cs="Calibri" w:eastAsia="Calibri" w:hAnsi="Calibri"/>
          <w:color w:val="333333"/>
          <w:sz w:val="19"/>
          <w:szCs w:val="19"/>
        </w:rPr>
        <w:t xml:space="preserve">Series B / Pre-M&amp;A Status: Investor and acquirer due diligence will scrutinize security posture. Security weaknesses discovered during due diligence can reduce valuation or block a deal.</w:t>
      </w:r>
    </w:p>
    <w:p>
      <w:pPr>
        <w:spacing w:after="28" w:before="28"/>
        <w:ind w:left="316"/>
      </w:pPr>
      <w:r>
        <w:rPr>
          <w:rFonts w:ascii="Calibri" w:cs="Calibri" w:eastAsia="Calibri" w:hAnsi="Calibri"/>
          <w:color w:val="2C5F8A"/>
          <w:sz w:val="19"/>
          <w:szCs w:val="19"/>
        </w:rPr>
        <w:t xml:space="preserve">• </w:t>
      </w:r>
      <w:r>
        <w:rPr>
          <w:rFonts w:ascii="Calibri" w:cs="Calibri" w:eastAsia="Calibri" w:hAnsi="Calibri"/>
          <w:color w:val="333333"/>
          <w:sz w:val="19"/>
          <w:szCs w:val="19"/>
        </w:rPr>
        <w:t xml:space="preserve">API Integration Surface: TechBridge Flow's integrations with Salesforce, Microsoft 365, and QuickBooks create a broad third-party attack surface that is not formally managed.</w:t>
      </w:r>
    </w:p>
    <w:p>
      <w:pPr>
        <w:spacing w:after="28" w:before="28"/>
        <w:ind w:left="316"/>
      </w:pPr>
      <w:r>
        <w:rPr>
          <w:rFonts w:ascii="Calibri" w:cs="Calibri" w:eastAsia="Calibri" w:hAnsi="Calibri"/>
          <w:color w:val="2C5F8A"/>
          <w:sz w:val="19"/>
          <w:szCs w:val="19"/>
        </w:rPr>
        <w:t xml:space="preserve">• </w:t>
      </w:r>
      <w:r>
        <w:rPr>
          <w:rFonts w:ascii="Calibri" w:cs="Calibri" w:eastAsia="Calibri" w:hAnsi="Calibri"/>
          <w:color w:val="333333"/>
          <w:sz w:val="19"/>
          <w:szCs w:val="19"/>
        </w:rPr>
        <w:t xml:space="preserve">Remote-First Workforce: ~65% of employees work remotely full-time. VPN is not mandatory, and BYOD is common but ungoverned.</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1A6B3C" w:sz="18"/>
              <w:bottom w:val="nil"/>
              <w:right w:val="nil"/>
            </w:tcBorders>
            <w:shd w:fill="E8F4E8" w:val="clear"/>
            <w:tcMar>
              <w:top w:type="dxa" w:w="80"/>
              <w:left w:type="dxa" w:w="160"/>
              <w:bottom w:type="dxa" w:w="80"/>
              <w:right w:type="dxa" w:w="160"/>
            </w:tcMar>
          </w:tcPr>
          <w:p>
            <w:r>
              <w:rPr>
                <w:rFonts w:ascii="Calibri" w:cs="Calibri" w:eastAsia="Calibri" w:hAnsi="Calibri"/>
                <w:b/>
                <w:bCs/>
                <w:color w:val="1A6B3C"/>
                <w:sz w:val="19"/>
                <w:szCs w:val="19"/>
              </w:rPr>
              <w:t xml:space="preserve">Analyst Note — How This Shapes the Risk Register</w:t>
            </w:r>
          </w:p>
          <w:p>
            <w:pPr>
              <w:spacing w:before="30"/>
            </w:pPr>
            <w:r>
              <w:rPr>
                <w:rFonts w:ascii="Calibri" w:cs="Calibri" w:eastAsia="Calibri" w:hAnsi="Calibri"/>
                <w:color w:val="333333"/>
                <w:sz w:val="19"/>
                <w:szCs w:val="19"/>
              </w:rPr>
              <w:t xml:space="preserve">The 10 risks in Project 1 were not selected arbitrarily. Each reflects a documented gap in TechBridge's environment: the Critical rating for unauthorized access reflects the Entra ID MFA gap and unreviewed RDS permissions; the Critical phishing rating reflects the absence of security awareness training against a documented BEC threat trend; the High rating for vendor risk reflects the ungoverned Flow API integrations. Every risk rating is traceable to a specific fact about TechBridge documented in this profile.</w:t>
            </w:r>
          </w:p>
        </w:tc>
      </w:tr>
    </w:tbl>
    <w:p>
      <w:pPr>
        <w:spacing w:after="0" w:before="80"/>
      </w:pPr>
      <w:r>
        <w:t xml:space="preserve"/>
      </w:r>
    </w:p>
    <w:p>
      <w:pPr>
        <w:pBdr>
          <w:bottom w:val="single" w:color="1F2D5A" w:sz="8" w:space="3"/>
        </w:pBdr>
        <w:spacing w:after="80" w:before="220"/>
      </w:pPr>
      <w:r>
        <w:rPr>
          <w:rFonts w:ascii="Calibri" w:cs="Calibri" w:eastAsia="Calibri" w:hAnsi="Calibri"/>
          <w:b/>
          <w:bCs/>
          <w:color w:val="1F2D5A"/>
          <w:sz w:val="22"/>
          <w:szCs w:val="22"/>
        </w:rPr>
        <w:t xml:space="preserve">8. ASSESSMENT SCOPE &amp; ASSUMPTIONS</w:t>
      </w:r>
    </w:p>
    <w:p>
      <w:pPr>
        <w:spacing w:after="28" w:before="28"/>
      </w:pPr>
      <w:r>
        <w:rPr>
          <w:rFonts w:ascii="Calibri" w:cs="Calibri" w:eastAsia="Calibri" w:hAnsi="Calibri"/>
          <w:b/>
          <w:bCs/>
          <w:color w:val="1F2D5A"/>
          <w:sz w:val="19"/>
          <w:szCs w:val="19"/>
        </w:rPr>
        <w:t xml:space="preserve">Assessment Type: </w:t>
      </w:r>
      <w:r>
        <w:rPr>
          <w:rFonts w:ascii="Calibri" w:cs="Calibri" w:eastAsia="Calibri" w:hAnsi="Calibri"/>
          <w:color w:val="333333"/>
          <w:sz w:val="19"/>
          <w:szCs w:val="19"/>
        </w:rPr>
        <w:t xml:space="preserve">Simulated internal self-assessment — all findings are based on the scenario described in this document</w:t>
      </w:r>
    </w:p>
    <w:p>
      <w:pPr>
        <w:spacing w:after="28" w:before="28"/>
      </w:pPr>
      <w:r>
        <w:rPr>
          <w:rFonts w:ascii="Calibri" w:cs="Calibri" w:eastAsia="Calibri" w:hAnsi="Calibri"/>
          <w:b/>
          <w:bCs/>
          <w:color w:val="1F2D5A"/>
          <w:sz w:val="19"/>
          <w:szCs w:val="19"/>
        </w:rPr>
        <w:t xml:space="preserve">Assessment Date: </w:t>
      </w:r>
      <w:r>
        <w:rPr>
          <w:rFonts w:ascii="Calibri" w:cs="Calibri" w:eastAsia="Calibri" w:hAnsi="Calibri"/>
          <w:color w:val="333333"/>
          <w:sz w:val="19"/>
          <w:szCs w:val="19"/>
        </w:rPr>
        <w:t xml:space="preserve">July 2, 2026</w:t>
      </w:r>
    </w:p>
    <w:p>
      <w:pPr>
        <w:spacing w:after="28" w:before="28"/>
      </w:pPr>
      <w:r>
        <w:rPr>
          <w:rFonts w:ascii="Calibri" w:cs="Calibri" w:eastAsia="Calibri" w:hAnsi="Calibri"/>
          <w:b/>
          <w:bCs/>
          <w:color w:val="1F2D5A"/>
          <w:sz w:val="19"/>
          <w:szCs w:val="19"/>
        </w:rPr>
        <w:t xml:space="preserve">Assessor: </w:t>
      </w:r>
      <w:r>
        <w:rPr>
          <w:rFonts w:ascii="Calibri" w:cs="Calibri" w:eastAsia="Calibri" w:hAnsi="Calibri"/>
          <w:color w:val="333333"/>
          <w:sz w:val="19"/>
          <w:szCs w:val="19"/>
        </w:rPr>
        <w:t xml:space="preserve">Manveer Grewal, IT &amp; Cybersecurity Student, George Mason University</w:t>
      </w:r>
    </w:p>
    <w:p>
      <w:pPr>
        <w:spacing w:after="28" w:before="28"/>
      </w:pPr>
      <w:r>
        <w:rPr>
          <w:rFonts w:ascii="Calibri" w:cs="Calibri" w:eastAsia="Calibri" w:hAnsi="Calibri"/>
          <w:b/>
          <w:bCs/>
          <w:color w:val="1F2D5A"/>
          <w:sz w:val="19"/>
          <w:szCs w:val="19"/>
        </w:rPr>
        <w:t xml:space="preserve">Frameworks Applied: </w:t>
      </w:r>
      <w:r>
        <w:rPr>
          <w:rFonts w:ascii="Calibri" w:cs="Calibri" w:eastAsia="Calibri" w:hAnsi="Calibri"/>
          <w:color w:val="333333"/>
          <w:sz w:val="19"/>
          <w:szCs w:val="19"/>
        </w:rPr>
        <w:t xml:space="preserve">NIST CSF v1.1, NIST SP 800-30, NIST SP 800-61, ISO 27001:2022, CIS Controls v8</w:t>
      </w:r>
    </w:p>
    <w:p>
      <w:pPr>
        <w:spacing w:after="28" w:before="28"/>
      </w:pPr>
      <w:r>
        <w:rPr>
          <w:rFonts w:ascii="Calibri" w:cs="Calibri" w:eastAsia="Calibri" w:hAnsi="Calibri"/>
          <w:b/>
          <w:bCs/>
          <w:color w:val="1F2D5A"/>
          <w:sz w:val="19"/>
          <w:szCs w:val="19"/>
        </w:rPr>
        <w:t xml:space="preserve">Scope Includes: </w:t>
      </w:r>
      <w:r>
        <w:rPr>
          <w:rFonts w:ascii="Calibri" w:cs="Calibri" w:eastAsia="Calibri" w:hAnsi="Calibri"/>
          <w:color w:val="333333"/>
          <w:sz w:val="19"/>
          <w:szCs w:val="19"/>
        </w:rPr>
        <w:t xml:space="preserve">People, processes, and technology controls for TechBridge's US and Canadian operations</w:t>
      </w:r>
    </w:p>
    <w:p>
      <w:pPr>
        <w:spacing w:after="28" w:before="28"/>
      </w:pPr>
      <w:r>
        <w:rPr>
          <w:rFonts w:ascii="Calibri" w:cs="Calibri" w:eastAsia="Calibri" w:hAnsi="Calibri"/>
          <w:b/>
          <w:bCs/>
          <w:color w:val="1F2D5A"/>
          <w:sz w:val="19"/>
          <w:szCs w:val="19"/>
        </w:rPr>
        <w:t xml:space="preserve">Scope Excludes: </w:t>
      </w:r>
      <w:r>
        <w:rPr>
          <w:rFonts w:ascii="Calibri" w:cs="Calibri" w:eastAsia="Calibri" w:hAnsi="Calibri"/>
          <w:color w:val="333333"/>
          <w:sz w:val="19"/>
          <w:szCs w:val="19"/>
        </w:rPr>
        <w:t xml:space="preserve">Physical security of AWS data centers (covered by AWS shared responsibility model)</w:t>
      </w:r>
    </w:p>
    <w:p>
      <w:pPr>
        <w:spacing w:after="0" w:before="40"/>
      </w:pPr>
      <w:r>
        <w:t xml:space="preserve"/>
      </w:r>
    </w:p>
    <w:p>
      <w:pPr>
        <w:spacing w:after="60" w:before="60"/>
      </w:pPr>
      <w:r>
        <w:rPr>
          <w:rFonts w:ascii="Calibri" w:cs="Calibri" w:eastAsia="Calibri" w:hAnsi="Calibri"/>
          <w:b w:val="false"/>
          <w:bCs w:val="false"/>
          <w:i/>
          <w:iCs/>
          <w:color w:val="666666"/>
          <w:sz w:val="18"/>
          <w:szCs w:val="18"/>
        </w:rPr>
        <w:t xml:space="preserve">All findings, risk ratings, and recommendations in this portfolio are grounded in the organizational context established in this document. Reviewers are encouraged to read this profile before reviewing Projects 1–4, as it provides the justification for every risk rating, gap severity, and audit finding contained in those deliverables.</w:t>
      </w:r>
    </w:p>
    <w:p>
      <w:pPr>
        <w:spacing w:after="0" w:before="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2026-07-02T04:50:26.845Z</dcterms:created>
  <dcterms:modified xsi:type="dcterms:W3CDTF">2026-07-02T04:50:26.857Z</dcterms:modified>
</cp:coreProperties>
</file>

<file path=docProps/custom.xml><?xml version="1.0" encoding="utf-8"?>
<Properties xmlns="http://schemas.openxmlformats.org/officeDocument/2006/custom-properties" xmlns:vt="http://schemas.openxmlformats.org/officeDocument/2006/docPropsVTypes"/>
</file>