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2D5A" w:val="clear"/>
        <w:spacing w:after="60" w:before="8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GRC ANALYST PORTFOLIO</w:t>
      </w:r>
    </w:p>
    <w:p>
      <w:pPr>
        <w:shd w:fill="1F2D5A" w:val="clear"/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Manveer Grewal</w:t>
      </w:r>
    </w:p>
    <w:p>
      <w:pPr>
        <w:shd w:fill="1F2D5A" w:val="clear"/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FFFFFF"/>
          <w:sz w:val="14"/>
          <w:szCs w:val="14"/>
        </w:rPr>
        <w:t xml:space="preserve"> </w:t>
      </w:r>
    </w:p>
    <w:p>
      <w:pPr>
        <w:shd w:fill="1F2D5A" w:val="clear"/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FFFFFF"/>
          <w:sz w:val="20"/>
          <w:szCs w:val="20"/>
        </w:rPr>
        <w:t xml:space="preserve">B.S. Information Technology — Cybersecurity Concentration</w:t>
      </w:r>
    </w:p>
    <w:p>
      <w:pPr>
        <w:shd w:fill="1F2D5A" w:val="clear"/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FFFFFF"/>
          <w:sz w:val="18"/>
          <w:szCs w:val="18"/>
        </w:rPr>
        <w:t xml:space="preserve">George Mason University  |  Expected December 2026</w:t>
      </w:r>
    </w:p>
    <w:p>
      <w:pPr>
        <w:shd w:fill="1F2D5A" w:val="clear"/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FFFFFF"/>
          <w:sz w:val="18"/>
          <w:szCs w:val="18"/>
        </w:rPr>
        <w:t xml:space="preserve">manveer.g65@gmail.com  |  Northern Virginia, VA</w:t>
      </w:r>
    </w:p>
    <w:p>
      <w:pPr>
        <w:shd w:fill="1F2D5A" w:val="clear"/>
        <w:spacing w:after="800" w:before="60"/>
        <w:jc w:val="center"/>
      </w:pPr>
      <w:r>
        <w:rPr>
          <w:rFonts w:ascii="Calibri" w:cs="Calibri" w:eastAsia="Calibri" w:hAnsi="Calibri"/>
          <w:b w:val="false"/>
          <w:bCs w:val="false"/>
          <w:color w:val="FFFFFF"/>
          <w:sz w:val="18"/>
          <w:szCs w:val="18"/>
        </w:rPr>
        <w:t xml:space="preserve">CompTIA Security+ (In Progress)  |  Google IT Support Specialist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2D5A"/>
          <w:sz w:val="22"/>
          <w:szCs w:val="22"/>
        </w:rPr>
        <w:t xml:space="preserve">ABOUT THIS PORTFOLIO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portfolio demonstrates hands-on GRC (Governance, Risk, and Compliance) skills developed through independent project work, academic coursework, and practical application of industry-standard frameworks. Each project mirrors real deliverables produced by entry-level GRC Analysts and IT Auditors.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All projects use a fictional organization — TechBridge Solutions — as the assessment target, providing a consistent, realistic scenario across all four deliverables.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2D5A"/>
          <w:sz w:val="22"/>
          <w:szCs w:val="22"/>
        </w:rPr>
        <w:t xml:space="preserve">PORTFOLIO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600"/>
        <w:gridCol w:w="3740"/>
      </w:tblGrid>
      <w:tr>
        <w:trPr>
          <w:tblHeader/>
        </w:trPr>
        <w:tc>
          <w:tcPr>
            <w:tcW w:type="dxa" w:w="600"/>
            <w:shd w:fill="1F2D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shd w:fill="1F2D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3600"/>
            <w:shd w:fill="1F2D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40"/>
            <w:shd w:fill="1F2D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Skills Demonstrated</w:t>
            </w:r>
          </w:p>
        </w:tc>
      </w:tr>
      <w:tr>
        <w:tc>
          <w:tcPr>
            <w:tcW w:type="dxa" w:w="6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Simple Risk Register</w:t>
            </w:r>
          </w:p>
        </w:tc>
        <w:tc>
          <w:tcPr>
            <w:tcW w:type="dxa" w:w="36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structured Excel workbook identifying 10 organizational risks, scored by likelihood and impact, with a risk summary dashboard and remediation tracker.</w:t>
            </w:r>
          </w:p>
        </w:tc>
        <w:tc>
          <w:tcPr>
            <w:tcW w:type="dxa" w:w="374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Risk identification, risk scoring (L×I matrix), Excel dashboards, remediation tracking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Policy Review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formal review of TechBridge Solutions' Acceptable Use Policy, identifying 6 gaps against NIST CSF and ISO 27001, with severity ratings and recommendations.</w:t>
            </w:r>
          </w:p>
        </w:tc>
        <w:tc>
          <w:tcPr>
            <w:tcW w:type="dxa" w:w="3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Policy analysis, framework mapping, written communication, gap identification</w:t>
            </w:r>
          </w:p>
        </w:tc>
      </w:tr>
      <w:tr>
        <w:tc>
          <w:tcPr>
            <w:tcW w:type="dxa" w:w="6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Mini Gap Assessment</w:t>
            </w:r>
          </w:p>
        </w:tc>
        <w:tc>
          <w:tcPr>
            <w:tcW w:type="dxa" w:w="36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full NIST CSF gap assessment across all 5 Functions (17 controls), documenting current state, gaps, and prioritized remediation roadmap.</w:t>
            </w:r>
          </w:p>
        </w:tc>
        <w:tc>
          <w:tcPr>
            <w:tcW w:type="dxa" w:w="374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NIST CSF, control assessment, risk prioritization, governance documentation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Audit-Style Finding Report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 formal audit findings documented using the Condition-Criteria-Cause-Effect-Recommendation (5C) format, with management responses and target dates.</w:t>
            </w:r>
          </w:p>
        </w:tc>
        <w:tc>
          <w:tcPr>
            <w:tcW w:type="dxa" w:w="3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Audit writing, finding documentation, root cause analysis, control frameworks</w:t>
            </w:r>
          </w:p>
        </w:tc>
      </w:tr>
    </w:tbl>
    <w:p>
      <w:pPr>
        <w:spacing w:after="80" w:before="220"/>
      </w:pPr>
      <w:r>
        <w:rPr>
          <w:rFonts w:ascii="Calibri" w:cs="Calibri" w:eastAsia="Calibri" w:hAnsi="Calibri"/>
          <w:b/>
          <w:bCs/>
          <w:color w:val="1F2D5A"/>
          <w:sz w:val="22"/>
          <w:szCs w:val="22"/>
        </w:rPr>
        <w:t xml:space="preserve">FRAMEWORKS &amp; STANDARDS REFERENCED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C5F8A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NIST Cybersecurity Framework (CSF) v1.1 — Identify, Protect, Detect, Respond, Recover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C5F8A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NIST SP 800-30 — Guide for Conducting Risk Assessments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C5F8A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NIST SP 800-61 — Computer Security Incident Handling Guide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C5F8A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ISO/IEC 27001:2022 — Information Security Management Systems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C5F8A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CIS Controls v8 — Center for Internet Security Critical Security Controls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2D5A"/>
          <w:sz w:val="22"/>
          <w:szCs w:val="22"/>
        </w:rPr>
        <w:t xml:space="preserve">ACADEMIC BACKGROUND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F2D5A"/>
          <w:sz w:val="20"/>
          <w:szCs w:val="20"/>
        </w:rPr>
        <w:t xml:space="preserve">Current Degree: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B.S. Information Technology, Cybersecurity Concentration — George Mason University (Dec 2026)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F2D5A"/>
          <w:sz w:val="20"/>
          <w:szCs w:val="20"/>
        </w:rPr>
        <w:t xml:space="preserve">Prior Degree: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A.S. Information Technology — Northern Virginia Community College (Dec 2024)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F2D5A"/>
          <w:sz w:val="20"/>
          <w:szCs w:val="20"/>
        </w:rPr>
        <w:t xml:space="preserve">Relevant Coursework: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Cyber Threat Intelligence &amp; Digital Forensics, Network Security, Information Security, Database Systems, IT Project Management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F2D5A"/>
          <w:sz w:val="20"/>
          <w:szCs w:val="20"/>
        </w:rPr>
        <w:t xml:space="preserve">Certification: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CompTIA Security+ (In Progress — July 2026), Google IT Support Specialist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2D5A"/>
          <w:sz w:val="22"/>
          <w:szCs w:val="22"/>
        </w:rPr>
        <w:t xml:space="preserve">HOW TO NAVIGATE THIS PORTFOLIO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C5F8A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Start with Project 1 (Risk Register.xlsx) — open all 3 tabs to see the risk register, summary dashboard, and remediation tracker.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C5F8A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Read Project 2 (Policy Review.docx) to see policy analysis and gap identification in action.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C5F8A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Review Project 3 (Gap Assessment.docx) for the full NIST CSF control-by-control assessment.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C5F8A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Read Project 4 (Audit Finding Report.docx) to see formal audit documentation using the 5C format.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All projects are original work produced for portfolio purposes. TechBridge Solutions is a fictional organization created for this assessment scenario.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2026-07-02T04:37:55.673Z</dcterms:created>
  <dcterms:modified xsi:type="dcterms:W3CDTF">2026-07-02T04:37:55.673Z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