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2D5A" w:val="clear"/>
        <w:spacing w:after="60" w:before="800"/>
        <w:jc w:val="center"/>
      </w:pPr>
      <w:r>
        <w:rPr>
          <w:rFonts w:ascii="Calibri" w:cs="Calibri" w:eastAsia="Calibri" w:hAnsi="Calibri"/>
          <w:b w:val="false"/>
          <w:bCs w:val="false"/>
          <w:color w:val="FFFFFF"/>
          <w:sz w:val="18"/>
          <w:szCs w:val="18"/>
        </w:rPr>
        <w:t xml:space="preserve">GRC PORTFOLIO PROJECT 2</w:t>
      </w:r>
    </w:p>
    <w:p>
      <w:pPr>
        <w:shd w:fill="1F2D5A" w:val="clear"/>
        <w:spacing w:after="60" w:before="60"/>
        <w:jc w:val="center"/>
      </w:pPr>
      <w:r>
        <w:rPr>
          <w:rFonts w:ascii="Calibri" w:cs="Calibri" w:eastAsia="Calibri" w:hAnsi="Calibri"/>
          <w:b/>
          <w:bCs/>
          <w:color w:val="FFFFFF"/>
          <w:sz w:val="36"/>
          <w:szCs w:val="36"/>
        </w:rPr>
        <w:t xml:space="preserve">Security Policy Review</w:t>
      </w:r>
    </w:p>
    <w:p>
      <w:pPr>
        <w:shd w:fill="1F2D5A" w:val="clear"/>
        <w:spacing w:after="60" w:before="60"/>
        <w:jc w:val="center"/>
      </w:pPr>
      <w:r>
        <w:rPr>
          <w:rFonts w:ascii="Calibri" w:cs="Calibri" w:eastAsia="Calibri" w:hAnsi="Calibri"/>
          <w:b w:val="false"/>
          <w:bCs w:val="false"/>
          <w:color w:val="FFFFFF"/>
          <w:sz w:val="20"/>
          <w:szCs w:val="20"/>
        </w:rPr>
        <w:t xml:space="preserve">Acceptable Use Policy — Gap Review &amp; Recommendations</w:t>
      </w:r>
    </w:p>
    <w:p>
      <w:pPr>
        <w:shd w:fill="1F2D5A" w:val="clear"/>
        <w:spacing w:after="60" w:before="60"/>
        <w:jc w:val="center"/>
      </w:pPr>
      <w:r>
        <w:rPr>
          <w:rFonts w:ascii="Calibri" w:cs="Calibri" w:eastAsia="Calibri" w:hAnsi="Calibri"/>
          <w:b w:val="false"/>
          <w:bCs w:val="false"/>
          <w:color w:val="FFFFFF"/>
          <w:sz w:val="14"/>
          <w:szCs w:val="14"/>
        </w:rPr>
        <w:t xml:space="preserve"> </w:t>
      </w:r>
    </w:p>
    <w:p>
      <w:pPr>
        <w:shd w:fill="1F2D5A" w:val="clear"/>
        <w:spacing w:after="60" w:before="60"/>
        <w:jc w:val="center"/>
      </w:pPr>
      <w:r>
        <w:rPr>
          <w:rFonts w:ascii="Calibri" w:cs="Calibri" w:eastAsia="Calibri" w:hAnsi="Calibri"/>
          <w:b w:val="false"/>
          <w:bCs w:val="false"/>
          <w:color w:val="FFFFFF"/>
          <w:sz w:val="18"/>
          <w:szCs w:val="18"/>
        </w:rPr>
        <w:t xml:space="preserve">Organization: TechBridge Solutions  |  Reviewer: Manveer Grewal</w:t>
      </w:r>
    </w:p>
    <w:p>
      <w:pPr>
        <w:shd w:fill="1F2D5A" w:val="clear"/>
        <w:spacing w:after="800" w:before="60"/>
        <w:jc w:val="center"/>
      </w:pPr>
      <w:r>
        <w:rPr>
          <w:rFonts w:ascii="Calibri" w:cs="Calibri" w:eastAsia="Calibri" w:hAnsi="Calibri"/>
          <w:b w:val="false"/>
          <w:bCs w:val="false"/>
          <w:color w:val="FFFFFF"/>
          <w:sz w:val="18"/>
          <w:szCs w:val="18"/>
        </w:rPr>
        <w:t xml:space="preserve">Date: July 2, 2026  |  Framework Reference: NIST CSF, ISO 27001</w:t>
      </w:r>
    </w:p>
    <w:p>
      <w:pPr>
        <w:spacing w:after="80" w:before="220"/>
      </w:pPr>
      <w:r>
        <w:rPr>
          <w:rFonts w:ascii="Calibri" w:cs="Calibri" w:eastAsia="Calibri" w:hAnsi="Calibri"/>
          <w:b/>
          <w:bCs/>
          <w:color w:val="1F2D5A"/>
          <w:sz w:val="22"/>
          <w:szCs w:val="22"/>
        </w:rPr>
        <w:t xml:space="preserve">1. PURPOSE &amp; SCOPE</w:t>
      </w:r>
    </w:p>
    <w:p>
      <w:pPr>
        <w:spacing w:after="60" w:before="60"/>
      </w:pPr>
      <w:r>
        <w:rPr>
          <w:rFonts w:ascii="Calibri" w:cs="Calibri" w:eastAsia="Calibri" w:hAnsi="Calibri"/>
          <w:color w:val="222222"/>
          <w:sz w:val="20"/>
          <w:szCs w:val="20"/>
        </w:rPr>
        <w:t xml:space="preserve">This policy review evaluates TechBridge Solutions' existing Acceptable Use Policy (AUP) against industry best practices and the NIST Cybersecurity Framework. The goal is to identify gaps, inconsistencies, and areas requiring update to ensure the policy adequately governs employee use of organizational IT resources.</w:t>
      </w:r>
    </w:p>
    <w:p>
      <w:pPr>
        <w:spacing w:after="60" w:before="60"/>
      </w:pPr>
      <w:r>
        <w:rPr>
          <w:rFonts w:ascii="Calibri" w:cs="Calibri" w:eastAsia="Calibri" w:hAnsi="Calibri"/>
          <w:color w:val="222222"/>
          <w:sz w:val="20"/>
          <w:szCs w:val="20"/>
        </w:rPr>
        <w:t xml:space="preserve">Scope includes all employees, contractors, and third-party users who access TechBridge Solutions' systems, networks, and data.</w:t>
      </w:r>
    </w:p>
    <w:p>
      <w:pPr>
        <w:spacing w:after="80" w:before="220"/>
      </w:pPr>
      <w:r>
        <w:rPr>
          <w:rFonts w:ascii="Calibri" w:cs="Calibri" w:eastAsia="Calibri" w:hAnsi="Calibri"/>
          <w:b/>
          <w:bCs/>
          <w:color w:val="1F2D5A"/>
          <w:sz w:val="22"/>
          <w:szCs w:val="22"/>
        </w:rPr>
        <w:t xml:space="preserve">2. CURRENT POLICY SUMMARY</w:t>
      </w:r>
    </w:p>
    <w:p>
      <w:pPr>
        <w:spacing w:after="60" w:before="60"/>
      </w:pPr>
      <w:r>
        <w:rPr>
          <w:rFonts w:ascii="Calibri" w:cs="Calibri" w:eastAsia="Calibri" w:hAnsi="Calibri"/>
          <w:color w:val="222222"/>
          <w:sz w:val="20"/>
          <w:szCs w:val="20"/>
        </w:rPr>
        <w:t xml:space="preserve">TechBridge Solutions' current AUP was last updated in January 2024. The policy covers the following areas at a high level:</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Permitted and prohibited use of company devices and internet</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Email usage guidelines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Basic data handling expectations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Consequences for policy violations</w:t>
      </w:r>
    </w:p>
    <w:p>
      <w:pPr>
        <w:spacing w:after="60" w:before="60"/>
      </w:pPr>
      <w:r>
        <w:rPr>
          <w:rFonts w:ascii="Calibri" w:cs="Calibri" w:eastAsia="Calibri" w:hAnsi="Calibri"/>
          <w:color w:val="222222"/>
          <w:sz w:val="20"/>
          <w:szCs w:val="20"/>
        </w:rPr>
        <w:t xml:space="preserve">While the policy establishes a foundational baseline, the review identified several significant gaps relative to current security standards.</w:t>
      </w:r>
    </w:p>
    <w:p>
      <w:pPr>
        <w:spacing w:after="80" w:before="220"/>
      </w:pPr>
      <w:r>
        <w:rPr>
          <w:rFonts w:ascii="Calibri" w:cs="Calibri" w:eastAsia="Calibri" w:hAnsi="Calibri"/>
          <w:b/>
          <w:bCs/>
          <w:color w:val="1F2D5A"/>
          <w:sz w:val="22"/>
          <w:szCs w:val="22"/>
        </w:rPr>
        <w:t xml:space="preserve">3. REVIEW FINDINGS</w:t>
      </w:r>
    </w:p>
    <w:p>
      <w:pPr>
        <w:spacing w:after="6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3000"/>
        <w:gridCol w:w="2200"/>
        <w:gridCol w:w="1440"/>
      </w:tblGrid>
      <w:tr>
        <w:trPr>
          <w:tblHeader/>
        </w:trPr>
        <w:tc>
          <w:tcPr>
            <w:tcW w:type="dxa" w:w="9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w:t>
            </w:r>
          </w:p>
        </w:tc>
        <w:tc>
          <w:tcPr>
            <w:tcW w:type="dxa" w:w="28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Policy Area</w:t>
            </w:r>
          </w:p>
        </w:tc>
        <w:tc>
          <w:tcPr>
            <w:tcW w:type="dxa" w:w="30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Gap / Issue Identified</w:t>
            </w:r>
          </w:p>
        </w:tc>
        <w:tc>
          <w:tcPr>
            <w:tcW w:type="dxa" w:w="220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Severity</w:t>
            </w:r>
          </w:p>
        </w:tc>
        <w:tc>
          <w:tcPr>
            <w:tcW w:type="dxa" w:w="1440"/>
            <w:shd w:fill="1F2D5A" w:val="clear"/>
            <w:tcMar>
              <w:top w:type="dxa" w:w="80"/>
              <w:left w:type="dxa" w:w="80"/>
              <w:bottom w:type="dxa" w:w="80"/>
              <w:right w:type="dxa" w:w="80"/>
            </w:tcMar>
          </w:tcPr>
          <w:p>
            <w:pPr>
              <w:jc w:val="center"/>
            </w:pPr>
            <w:r>
              <w:rPr>
                <w:rFonts w:ascii="Calibri" w:cs="Calibri" w:eastAsia="Calibri" w:hAnsi="Calibri"/>
                <w:b/>
                <w:bCs/>
                <w:color w:val="FFFFFF"/>
                <w:sz w:val="18"/>
                <w:szCs w:val="18"/>
              </w:rPr>
              <w:t xml:space="preserve">Framework Reference</w:t>
            </w:r>
          </w:p>
        </w:tc>
      </w:tr>
      <w:tr>
        <w:tc>
          <w:tcPr>
            <w:tcW w:type="dxa" w:w="900"/>
            <w:shd w:fill="F2F4F8"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1</w:t>
            </w:r>
          </w:p>
        </w:tc>
        <w:tc>
          <w:tcPr>
            <w:tcW w:type="dxa" w:w="2800"/>
            <w:shd w:fill="F2F4F8" w:val="clear"/>
            <w:tcMar>
              <w:top w:type="dxa" w:w="60"/>
              <w:left w:type="dxa" w:w="80"/>
              <w:bottom w:type="dxa" w:w="60"/>
              <w:right w:type="dxa" w:w="80"/>
            </w:tcMar>
          </w:tcPr>
          <w:p>
            <w:pPr>
              <w:jc w:val="left"/>
            </w:pPr>
            <w:r>
              <w:rPr>
                <w:rFonts w:ascii="Calibri" w:cs="Calibri" w:eastAsia="Calibri" w:hAnsi="Calibri"/>
                <w:b/>
                <w:bCs/>
                <w:color w:val="000000"/>
                <w:sz w:val="18"/>
                <w:szCs w:val="18"/>
              </w:rPr>
              <w:t xml:space="preserve">Remote Work &amp; BYOD</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mention of BYOD controls, VPN requirements, or remote access standards for personal devices.</w:t>
            </w:r>
          </w:p>
        </w:tc>
        <w:tc>
          <w:tcPr>
            <w:tcW w:type="dxa" w:w="2200"/>
            <w:shd w:fill="FF6600"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High</w:t>
            </w:r>
          </w:p>
        </w:tc>
        <w:tc>
          <w:tcPr>
            <w:tcW w:type="dxa" w:w="144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NIST PR.AC-3</w:t>
            </w:r>
          </w:p>
        </w:tc>
      </w:tr>
      <w:tr>
        <w:tc>
          <w:tcPr>
            <w:tcW w:type="dxa" w:w="900"/>
            <w:tcMar>
              <w:top w:type="dxa" w:w="60"/>
              <w:left w:type="dxa" w:w="80"/>
              <w:bottom w:type="dxa" w:w="60"/>
              <w:right w:type="dxa" w:w="80"/>
            </w:tcMar>
          </w:tcPr>
          <w:p>
            <w:pPr>
              <w:jc w:val="center"/>
            </w:pPr>
            <w:r>
              <w:rPr>
                <w:rFonts w:ascii="Calibri" w:cs="Calibri" w:eastAsia="Calibri" w:hAnsi="Calibri"/>
                <w:b/>
                <w:bCs/>
                <w:color w:val="000000"/>
                <w:sz w:val="18"/>
                <w:szCs w:val="18"/>
              </w:rPr>
              <w:t xml:space="preserve">2</w:t>
            </w:r>
          </w:p>
        </w:tc>
        <w:tc>
          <w:tcPr>
            <w:tcW w:type="dxa" w:w="2800"/>
            <w:tcMar>
              <w:top w:type="dxa" w:w="60"/>
              <w:left w:type="dxa" w:w="80"/>
              <w:bottom w:type="dxa" w:w="60"/>
              <w:right w:type="dxa" w:w="80"/>
            </w:tcMar>
          </w:tcPr>
          <w:p>
            <w:pPr>
              <w:jc w:val="left"/>
            </w:pPr>
            <w:r>
              <w:rPr>
                <w:rFonts w:ascii="Calibri" w:cs="Calibri" w:eastAsia="Calibri" w:hAnsi="Calibri"/>
                <w:b/>
                <w:bCs/>
                <w:color w:val="000000"/>
                <w:sz w:val="18"/>
                <w:szCs w:val="18"/>
              </w:rPr>
              <w:t xml:space="preserve">Multi-Factor Authentication</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Policy does not require or reference MFA for any systems, including email or VPN access.</w:t>
            </w:r>
          </w:p>
        </w:tc>
        <w:tc>
          <w:tcPr>
            <w:tcW w:type="dxa" w:w="2200"/>
            <w:shd w:fill="FF6600"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High</w:t>
            </w:r>
          </w:p>
        </w:tc>
        <w:tc>
          <w:tcPr>
            <w:tcW w:type="dxa" w:w="144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NIST PR.AC-1</w:t>
            </w:r>
          </w:p>
        </w:tc>
      </w:tr>
      <w:tr>
        <w:tc>
          <w:tcPr>
            <w:tcW w:type="dxa" w:w="900"/>
            <w:shd w:fill="F2F4F8"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3</w:t>
            </w:r>
          </w:p>
        </w:tc>
        <w:tc>
          <w:tcPr>
            <w:tcW w:type="dxa" w:w="2800"/>
            <w:shd w:fill="F2F4F8" w:val="clear"/>
            <w:tcMar>
              <w:top w:type="dxa" w:w="60"/>
              <w:left w:type="dxa" w:w="80"/>
              <w:bottom w:type="dxa" w:w="60"/>
              <w:right w:type="dxa" w:w="80"/>
            </w:tcMar>
          </w:tcPr>
          <w:p>
            <w:pPr>
              <w:jc w:val="left"/>
            </w:pPr>
            <w:r>
              <w:rPr>
                <w:rFonts w:ascii="Calibri" w:cs="Calibri" w:eastAsia="Calibri" w:hAnsi="Calibri"/>
                <w:b/>
                <w:bCs/>
                <w:color w:val="000000"/>
                <w:sz w:val="18"/>
                <w:szCs w:val="18"/>
              </w:rPr>
              <w:t xml:space="preserve">Data Classification</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data classification scheme defined; employees lack guidance on handling Confidential vs. Public data.</w:t>
            </w:r>
          </w:p>
        </w:tc>
        <w:tc>
          <w:tcPr>
            <w:tcW w:type="dxa" w:w="2200"/>
            <w:shd w:fill="FF6600"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High</w:t>
            </w:r>
          </w:p>
        </w:tc>
        <w:tc>
          <w:tcPr>
            <w:tcW w:type="dxa" w:w="144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ISO A.8.2</w:t>
            </w:r>
          </w:p>
        </w:tc>
      </w:tr>
      <w:tr>
        <w:tc>
          <w:tcPr>
            <w:tcW w:type="dxa" w:w="900"/>
            <w:tcMar>
              <w:top w:type="dxa" w:w="60"/>
              <w:left w:type="dxa" w:w="80"/>
              <w:bottom w:type="dxa" w:w="60"/>
              <w:right w:type="dxa" w:w="80"/>
            </w:tcMar>
          </w:tcPr>
          <w:p>
            <w:pPr>
              <w:jc w:val="center"/>
            </w:pPr>
            <w:r>
              <w:rPr>
                <w:rFonts w:ascii="Calibri" w:cs="Calibri" w:eastAsia="Calibri" w:hAnsi="Calibri"/>
                <w:b/>
                <w:bCs/>
                <w:color w:val="000000"/>
                <w:sz w:val="18"/>
                <w:szCs w:val="18"/>
              </w:rPr>
              <w:t xml:space="preserve">4</w:t>
            </w:r>
          </w:p>
        </w:tc>
        <w:tc>
          <w:tcPr>
            <w:tcW w:type="dxa" w:w="2800"/>
            <w:tcMar>
              <w:top w:type="dxa" w:w="60"/>
              <w:left w:type="dxa" w:w="80"/>
              <w:bottom w:type="dxa" w:w="60"/>
              <w:right w:type="dxa" w:w="80"/>
            </w:tcMar>
          </w:tcPr>
          <w:p>
            <w:pPr>
              <w:jc w:val="left"/>
            </w:pPr>
            <w:r>
              <w:rPr>
                <w:rFonts w:ascii="Calibri" w:cs="Calibri" w:eastAsia="Calibri" w:hAnsi="Calibri"/>
                <w:b/>
                <w:bCs/>
                <w:color w:val="000000"/>
                <w:sz w:val="18"/>
                <w:szCs w:val="18"/>
              </w:rPr>
              <w:t xml:space="preserve">Incident Reporting</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clear instruction for employees to report suspected security incidents or whom to contact.</w:t>
            </w:r>
          </w:p>
        </w:tc>
        <w:tc>
          <w:tcPr>
            <w:tcW w:type="dxa" w:w="2200"/>
            <w:shd w:fill="FFC000"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Medium</w:t>
            </w:r>
          </w:p>
        </w:tc>
        <w:tc>
          <w:tcPr>
            <w:tcW w:type="dxa" w:w="144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NIST RS.CO-2</w:t>
            </w:r>
          </w:p>
        </w:tc>
      </w:tr>
      <w:tr>
        <w:tc>
          <w:tcPr>
            <w:tcW w:type="dxa" w:w="900"/>
            <w:shd w:fill="F2F4F8"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5</w:t>
            </w:r>
          </w:p>
        </w:tc>
        <w:tc>
          <w:tcPr>
            <w:tcW w:type="dxa" w:w="2800"/>
            <w:shd w:fill="F2F4F8" w:val="clear"/>
            <w:tcMar>
              <w:top w:type="dxa" w:w="60"/>
              <w:left w:type="dxa" w:w="80"/>
              <w:bottom w:type="dxa" w:w="60"/>
              <w:right w:type="dxa" w:w="80"/>
            </w:tcMar>
          </w:tcPr>
          <w:p>
            <w:pPr>
              <w:jc w:val="left"/>
            </w:pPr>
            <w:r>
              <w:rPr>
                <w:rFonts w:ascii="Calibri" w:cs="Calibri" w:eastAsia="Calibri" w:hAnsi="Calibri"/>
                <w:b/>
                <w:bCs/>
                <w:color w:val="000000"/>
                <w:sz w:val="18"/>
                <w:szCs w:val="18"/>
              </w:rPr>
              <w:t xml:space="preserve">Social Media &amp; Public Disclosure</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Policy does not address posting company information on social media or public disclosure of sensitive data.</w:t>
            </w:r>
          </w:p>
        </w:tc>
        <w:tc>
          <w:tcPr>
            <w:tcW w:type="dxa" w:w="2200"/>
            <w:shd w:fill="FFC000" w:val="clear"/>
            <w:tcMar>
              <w:top w:type="dxa" w:w="60"/>
              <w:left w:type="dxa" w:w="80"/>
              <w:bottom w:type="dxa" w:w="60"/>
              <w:right w:type="dxa" w:w="80"/>
            </w:tcMar>
          </w:tcPr>
          <w:p>
            <w:pPr>
              <w:jc w:val="center"/>
            </w:pPr>
            <w:r>
              <w:rPr>
                <w:rFonts w:ascii="Calibri" w:cs="Calibri" w:eastAsia="Calibri" w:hAnsi="Calibri"/>
                <w:b/>
                <w:bCs/>
                <w:color w:val="000000"/>
                <w:sz w:val="18"/>
                <w:szCs w:val="18"/>
              </w:rPr>
              <w:t xml:space="preserve">Medium</w:t>
            </w:r>
          </w:p>
        </w:tc>
        <w:tc>
          <w:tcPr>
            <w:tcW w:type="dxa" w:w="1440"/>
            <w:shd w:fill="F2F4F8" w:val="clear"/>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ISO A.6.2</w:t>
            </w:r>
          </w:p>
        </w:tc>
      </w:tr>
      <w:tr>
        <w:tc>
          <w:tcPr>
            <w:tcW w:type="dxa" w:w="900"/>
            <w:tcMar>
              <w:top w:type="dxa" w:w="60"/>
              <w:left w:type="dxa" w:w="80"/>
              <w:bottom w:type="dxa" w:w="60"/>
              <w:right w:type="dxa" w:w="80"/>
            </w:tcMar>
          </w:tcPr>
          <w:p>
            <w:pPr>
              <w:jc w:val="center"/>
            </w:pPr>
            <w:r>
              <w:rPr>
                <w:rFonts w:ascii="Calibri" w:cs="Calibri" w:eastAsia="Calibri" w:hAnsi="Calibri"/>
                <w:b/>
                <w:bCs/>
                <w:color w:val="000000"/>
                <w:sz w:val="18"/>
                <w:szCs w:val="18"/>
              </w:rPr>
              <w:t xml:space="preserve">6</w:t>
            </w:r>
          </w:p>
        </w:tc>
        <w:tc>
          <w:tcPr>
            <w:tcW w:type="dxa" w:w="2800"/>
            <w:tcMar>
              <w:top w:type="dxa" w:w="60"/>
              <w:left w:type="dxa" w:w="80"/>
              <w:bottom w:type="dxa" w:w="60"/>
              <w:right w:type="dxa" w:w="80"/>
            </w:tcMar>
          </w:tcPr>
          <w:p>
            <w:pPr>
              <w:jc w:val="left"/>
            </w:pPr>
            <w:r>
              <w:rPr>
                <w:rFonts w:ascii="Calibri" w:cs="Calibri" w:eastAsia="Calibri" w:hAnsi="Calibri"/>
                <w:b/>
                <w:bCs/>
                <w:color w:val="000000"/>
                <w:sz w:val="18"/>
                <w:szCs w:val="18"/>
              </w:rPr>
              <w:t xml:space="preserve">Policy Review Cadence</w:t>
            </w:r>
          </w:p>
        </w:tc>
        <w:tc>
          <w:tcPr>
            <w:tcW w:type="dxa" w:w="3000"/>
            <w:tcMar>
              <w:top w:type="dxa" w:w="60"/>
              <w:left w:type="dxa" w:w="80"/>
              <w:bottom w:type="dxa" w:w="60"/>
              <w:right w:type="dxa" w:w="80"/>
            </w:tcMar>
          </w:tcPr>
          <w:p>
            <w:pPr>
              <w:jc w:val="left"/>
            </w:pPr>
            <w:r>
              <w:rPr>
                <w:rFonts w:ascii="Calibri" w:cs="Calibri" w:eastAsia="Calibri" w:hAnsi="Calibri"/>
                <w:b w:val="false"/>
                <w:bCs w:val="false"/>
                <w:color w:val="000000"/>
                <w:sz w:val="18"/>
                <w:szCs w:val="18"/>
              </w:rPr>
              <w:t xml:space="preserve">No review frequency specified; policy has not been updated in over 18 months.</w:t>
            </w:r>
          </w:p>
        </w:tc>
        <w:tc>
          <w:tcPr>
            <w:tcW w:type="dxa" w:w="2200"/>
            <w:shd w:fill="00B050" w:val="clear"/>
            <w:tcMar>
              <w:top w:type="dxa" w:w="60"/>
              <w:left w:type="dxa" w:w="80"/>
              <w:bottom w:type="dxa" w:w="60"/>
              <w:right w:type="dxa" w:w="80"/>
            </w:tcMar>
          </w:tcPr>
          <w:p>
            <w:pPr>
              <w:jc w:val="center"/>
            </w:pPr>
            <w:r>
              <w:rPr>
                <w:rFonts w:ascii="Calibri" w:cs="Calibri" w:eastAsia="Calibri" w:hAnsi="Calibri"/>
                <w:b/>
                <w:bCs/>
                <w:color w:val="FFFFFF"/>
                <w:sz w:val="18"/>
                <w:szCs w:val="18"/>
              </w:rPr>
              <w:t xml:space="preserve">Low</w:t>
            </w:r>
          </w:p>
        </w:tc>
        <w:tc>
          <w:tcPr>
            <w:tcW w:type="dxa" w:w="1440"/>
            <w:tcMar>
              <w:top w:type="dxa" w:w="60"/>
              <w:left w:type="dxa" w:w="80"/>
              <w:bottom w:type="dxa" w:w="60"/>
              <w:right w:type="dxa" w:w="80"/>
            </w:tcMar>
          </w:tcPr>
          <w:p>
            <w:pPr>
              <w:jc w:val="center"/>
            </w:pPr>
            <w:r>
              <w:rPr>
                <w:rFonts w:ascii="Calibri" w:cs="Calibri" w:eastAsia="Calibri" w:hAnsi="Calibri"/>
                <w:b w:val="false"/>
                <w:bCs w:val="false"/>
                <w:color w:val="000000"/>
                <w:sz w:val="18"/>
                <w:szCs w:val="18"/>
              </w:rPr>
              <w:t xml:space="preserve">ISO A.5.1</w:t>
            </w:r>
          </w:p>
        </w:tc>
      </w:tr>
    </w:tbl>
    <w:p>
      <w:pPr>
        <w:spacing w:after="80" w:before="220"/>
      </w:pPr>
      <w:r>
        <w:rPr>
          <w:rFonts w:ascii="Calibri" w:cs="Calibri" w:eastAsia="Calibri" w:hAnsi="Calibri"/>
          <w:b/>
          <w:bCs/>
          <w:color w:val="1F2D5A"/>
          <w:sz w:val="22"/>
          <w:szCs w:val="22"/>
        </w:rPr>
        <w:t xml:space="preserve">4. RECOMMENDATIONS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Add a dedicated BYOD &amp; Remote Access section requiring VPN use and prohibiting storage of company data on unmanaged personal devices.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Mandate MFA for all employee accounts accessing company systems, email, and cloud services.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Define a data classification framework (e.g., Public / Internal / Confidential / Restricted) with handling requirements for each tier.</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Add an Incident Reporting section with a clear escalation path, contact information for the IT Security team, and a 24-hour reporting obligation.</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Address social media usage and prohibit posting confidential organizational information on public platforms.</w:t>
      </w:r>
    </w:p>
    <w:p>
      <w:pPr>
        <w:spacing w:after="30" w:before="30"/>
        <w:ind w:left="360"/>
      </w:pPr>
      <w:r>
        <w:rPr>
          <w:rFonts w:ascii="Calibri" w:cs="Calibri" w:eastAsia="Calibri" w:hAnsi="Calibri"/>
          <w:color w:val="2C5F8A"/>
          <w:sz w:val="20"/>
          <w:szCs w:val="20"/>
        </w:rPr>
        <w:t xml:space="preserve">• </w:t>
      </w:r>
      <w:r>
        <w:rPr>
          <w:rFonts w:ascii="Calibri" w:cs="Calibri" w:eastAsia="Calibri" w:hAnsi="Calibri"/>
          <w:color w:val="222222"/>
          <w:sz w:val="20"/>
          <w:szCs w:val="20"/>
        </w:rPr>
        <w:t xml:space="preserve">Establish an annual review cycle with a designated policy owner responsible for updates and re-approval.</w:t>
      </w:r>
    </w:p>
    <w:p>
      <w:pPr>
        <w:spacing w:after="80" w:before="220"/>
      </w:pPr>
      <w:r>
        <w:rPr>
          <w:rFonts w:ascii="Calibri" w:cs="Calibri" w:eastAsia="Calibri" w:hAnsi="Calibri"/>
          <w:b/>
          <w:bCs/>
          <w:color w:val="1F2D5A"/>
          <w:sz w:val="22"/>
          <w:szCs w:val="22"/>
        </w:rPr>
        <w:t xml:space="preserve">5. CONCLUSION</w:t>
      </w:r>
    </w:p>
    <w:p>
      <w:pPr>
        <w:spacing w:after="60" w:before="60"/>
      </w:pPr>
      <w:r>
        <w:rPr>
          <w:rFonts w:ascii="Calibri" w:cs="Calibri" w:eastAsia="Calibri" w:hAnsi="Calibri"/>
          <w:color w:val="222222"/>
          <w:sz w:val="20"/>
          <w:szCs w:val="20"/>
        </w:rPr>
        <w:t xml:space="preserve">TechBridge Solutions' Acceptable Use Policy provides a basic foundation but requires significant updates to align with current security standards. The three High-severity gaps — BYOD controls, MFA requirements, and data classification — should be prioritized for immediate remediation. A revised policy should be drafted, reviewed by legal and IT security, approved by leadership, and communicated to all staff with a signed acknowledgment process.</w:t>
      </w:r>
    </w:p>
    <w:p>
      <w:pPr>
        <w:spacing w:after="30" w:before="30"/>
      </w:pPr>
      <w:r>
        <w:rPr>
          <w:rFonts w:ascii="Calibri" w:cs="Calibri" w:eastAsia="Calibri" w:hAnsi="Calibri"/>
          <w:b/>
          <w:bCs/>
          <w:color w:val="1F2D5A"/>
          <w:sz w:val="20"/>
          <w:szCs w:val="20"/>
        </w:rPr>
        <w:t xml:space="preserve">Next Review Date: </w:t>
      </w:r>
      <w:r>
        <w:rPr>
          <w:rFonts w:ascii="Calibri" w:cs="Calibri" w:eastAsia="Calibri" w:hAnsi="Calibri"/>
          <w:color w:val="333333"/>
          <w:sz w:val="20"/>
          <w:szCs w:val="20"/>
        </w:rPr>
        <w:t xml:space="preserve">July 2027</w:t>
      </w:r>
    </w:p>
    <w:p>
      <w:pPr>
        <w:spacing w:after="30" w:before="30"/>
      </w:pPr>
      <w:r>
        <w:rPr>
          <w:rFonts w:ascii="Calibri" w:cs="Calibri" w:eastAsia="Calibri" w:hAnsi="Calibri"/>
          <w:b/>
          <w:bCs/>
          <w:color w:val="1F2D5A"/>
          <w:sz w:val="20"/>
          <w:szCs w:val="20"/>
        </w:rPr>
        <w:t xml:space="preserve">Policy Owner: </w:t>
      </w:r>
      <w:r>
        <w:rPr>
          <w:rFonts w:ascii="Calibri" w:cs="Calibri" w:eastAsia="Calibri" w:hAnsi="Calibri"/>
          <w:color w:val="333333"/>
          <w:sz w:val="20"/>
          <w:szCs w:val="20"/>
        </w:rPr>
        <w:t xml:space="preserve">IT Security Manager</w:t>
      </w:r>
    </w:p>
    <w:p>
      <w:pPr>
        <w:spacing w:after="30" w:before="30"/>
      </w:pPr>
      <w:r>
        <w:rPr>
          <w:rFonts w:ascii="Calibri" w:cs="Calibri" w:eastAsia="Calibri" w:hAnsi="Calibri"/>
          <w:b/>
          <w:bCs/>
          <w:color w:val="1F2D5A"/>
          <w:sz w:val="20"/>
          <w:szCs w:val="20"/>
        </w:rPr>
        <w:t xml:space="preserve">Approval Required From: </w:t>
      </w:r>
      <w:r>
        <w:rPr>
          <w:rFonts w:ascii="Calibri" w:cs="Calibri" w:eastAsia="Calibri" w:hAnsi="Calibri"/>
          <w:color w:val="333333"/>
          <w:sz w:val="20"/>
          <w:szCs w:val="20"/>
        </w:rPr>
        <w:t xml:space="preserve">CISO / VP of Operations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2026-07-02T04:37:55.639Z</dcterms:created>
  <dcterms:modified xsi:type="dcterms:W3CDTF">2026-07-02T04:37:55.640Z</dcterms:modified>
</cp:coreProperties>
</file>

<file path=docProps/custom.xml><?xml version="1.0" encoding="utf-8"?>
<Properties xmlns="http://schemas.openxmlformats.org/officeDocument/2006/custom-properties" xmlns:vt="http://schemas.openxmlformats.org/officeDocument/2006/docPropsVTypes"/>
</file>