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D5A" w:val="clear"/>
        <w:spacing w:after="60" w:before="80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GRC PORTFOLIO PROJECT 3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Mini Gap Assessment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20"/>
          <w:szCs w:val="20"/>
        </w:rPr>
        <w:t xml:space="preserve">NIST Cybersecurity Framework v1.1 — Control Gap Analysis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4"/>
          <w:szCs w:val="14"/>
        </w:rPr>
        <w:t xml:space="preserve"> </w:t>
      </w:r>
    </w:p>
    <w:p>
      <w:pPr>
        <w:shd w:fill="1F2D5A" w:val="clear"/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Organization: TechBridge Solutions  |  Analyst: Manveer Grewal</w:t>
      </w:r>
    </w:p>
    <w:p>
      <w:pPr>
        <w:shd w:fill="1F2D5A" w:val="clear"/>
        <w:spacing w:after="800" w:before="60"/>
        <w:jc w:val="center"/>
      </w:pPr>
      <w:r>
        <w:rPr>
          <w:rFonts w:ascii="Calibri" w:cs="Calibri" w:eastAsia="Calibri" w:hAnsi="Calibri"/>
          <w:b w:val="false"/>
          <w:bCs w:val="false"/>
          <w:color w:val="FFFFFF"/>
          <w:sz w:val="18"/>
          <w:szCs w:val="18"/>
        </w:rPr>
        <w:t xml:space="preserve">Date: July 2, 2026  |  Assessment Type: Self-Assessment / Simulated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1. ASSESSMENT OVERVIEW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gap assessment evaluates TechBridge Solutions' current security posture against selected controls from the NIST Cybersecurity Framework (CSF) v1.1. The assessment covers all five CSF Functions: Identify, Protect, Detect, Respond, and Recover.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Each control was evaluated as: Implemented, Partial, or Not Implemented. Gaps are prioritized by risk and accompanied by remediation recommendations.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2D5A"/>
          <w:sz w:val="20"/>
          <w:szCs w:val="20"/>
        </w:rPr>
        <w:t xml:space="preserve">Assessment Legend: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✅  Implemented — Control is fully in place and operating effectively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⚠️  Partial — Control exists but is incomplete or inconsistently applied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❌  Not Implemented — Control is absent; gap exists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2. GAP ASSESSMENT RESULTS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● IDENTIFY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500"/>
        <w:gridCol w:w="2800"/>
        <w:gridCol w:w="284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ID.AM-1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Asset Inventory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Hardware and software inventory is maintained in a CMDB.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ID.AM-2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Software Inventory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Inventory exists but is not updated consistently after software changes.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 software discovery; conduct quarterly inventory audits.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ID.GV-1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Security Policy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information security policy exists and has been approved by leadership.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ID.RA-1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Vulnerability ID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formal vulnerability scanning program in place.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a vulnerability scanner (e.g., Nessus); schedule monthly scans.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ID.RM-1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Risk Management Process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documented risk management framework or risk appetite statement.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Adopt NIST RMF; document risk tolerance; formalize risk register process.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● PROTECT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500"/>
        <w:gridCol w:w="2800"/>
        <w:gridCol w:w="2840"/>
      </w:tblGrid>
      <w:tr>
        <w:trPr>
          <w:tblHeader/>
        </w:trPr>
        <w:tc>
          <w:tcPr>
            <w:tcW w:type="dxa" w:w="1100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100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500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40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PR.AC-1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Identity &amp; Access Mgmt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IAM exists but least-privilege is not consistently enforced across all systems.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Conduct access rights review; implement RBAC; enforce least-privilege.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PR.AC-3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Remote Access Controls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VPN is available but not mandatory; MFA not required for remote sessions.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Mandate VPN + MFA for all remote access; enforce via policy.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PR.AT-1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Security Awareness Training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formal security awareness training program currently in place.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annual training + quarterly phishing simulations for all staff.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PR.DS-1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at Rest Encryption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Full-disk encryption enabled on company laptops and file servers.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PR.DS-2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Data in Transit Encryption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1.2+ enforced on all web applications and email systems.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PR.IP-4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Backups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Backups are performed but restoration has not been tested in 12+ months.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restoration quarterly; document RTO/RPO; implement offsite backup.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7B3F00"/>
          <w:sz w:val="22"/>
          <w:szCs w:val="22"/>
        </w:rPr>
        <w:t xml:space="preserve">● DETECT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500"/>
        <w:gridCol w:w="2800"/>
        <w:gridCol w:w="2840"/>
      </w:tblGrid>
      <w:tr>
        <w:trPr>
          <w:tblHeader/>
        </w:trPr>
        <w:tc>
          <w:tcPr>
            <w:tcW w:type="dxa" w:w="1100"/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100"/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500"/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40"/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DE.CM-1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Network Monitoring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Basic firewall logging enabled but no centralized SIEM or alerting in place.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SIEM; configure alerts for anomalous traffic; review logs daily.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DE.CM-3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User Activity Monitoring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user behavior monitoring or privileged access logging in place.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Enable audit logging for all privileged accounts; implement UEBA.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DE.CM-7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Unauthorized Device Detection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network access control (NAC) to detect or block unauthorized devices.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NAC solution; maintain an authorized device registry.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6B0000"/>
          <w:sz w:val="22"/>
          <w:szCs w:val="22"/>
        </w:rPr>
        <w:t xml:space="preserve">● RESPOND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500"/>
        <w:gridCol w:w="2800"/>
        <w:gridCol w:w="2840"/>
      </w:tblGrid>
      <w:tr>
        <w:trPr>
          <w:tblHeader/>
        </w:trPr>
        <w:tc>
          <w:tcPr>
            <w:tcW w:type="dxa" w:w="1100"/>
            <w:shd w:fill="6B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100"/>
            <w:shd w:fill="6B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500"/>
            <w:shd w:fill="6B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6B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40"/>
            <w:shd w:fill="6B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RS.RP-1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Incident Response Plan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formal IRP documented or approved; no incident response roles assigned.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 IRP; define roles (Incident Commander, Communications Lead); test annually.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RS.CO-2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Incident Reporting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Informal reporting exists but no structured process or escalation path defined.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incident reporting procedures; train all staff on reporting obligations.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B0082"/>
          <w:sz w:val="22"/>
          <w:szCs w:val="22"/>
        </w:rPr>
        <w:t xml:space="preserve">● RECOVER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500"/>
        <w:gridCol w:w="2800"/>
        <w:gridCol w:w="2840"/>
      </w:tblGrid>
      <w:tr>
        <w:trPr>
          <w:tblHeader/>
        </w:trPr>
        <w:tc>
          <w:tcPr>
            <w:tcW w:type="dxa" w:w="1100"/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100"/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500"/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40"/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1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RC.RP-1</w:t>
            </w:r>
          </w:p>
        </w:tc>
        <w:tc>
          <w:tcPr>
            <w:tcW w:type="dxa" w:w="21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Recovery Plan</w:t>
            </w:r>
          </w:p>
        </w:tc>
        <w:tc>
          <w:tcPr>
            <w:tcW w:type="dxa" w:w="1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Business Continuity or Disaster Recovery plan documented or tested.</w:t>
            </w:r>
          </w:p>
        </w:tc>
        <w:tc>
          <w:tcPr>
            <w:tcW w:type="dxa" w:w="284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 BC/DR plan; define RTO/RPO; conduct annual DR exercise.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RC.IM-1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❌ Not Implemented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post-incident review process; lessons are not captured or acted upon.</w:t>
            </w:r>
          </w:p>
        </w:tc>
        <w:tc>
          <w:tcPr>
            <w:tcW w:type="dxa" w:w="28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 mandatory post-incident reviews within 5 business days of closure.</w:t>
            </w:r>
          </w:p>
        </w:tc>
      </w:tr>
    </w:tbl>
    <w:p>
      <w:pPr>
        <w:spacing w:after="80" w:before="220"/>
      </w:pPr>
      <w:r>
        <w:rPr>
          <w:rFonts w:ascii="Calibri" w:cs="Calibri" w:eastAsia="Calibri" w:hAnsi="Calibri"/>
          <w:b/>
          <w:bCs/>
          <w:color w:val="1F2D5A"/>
          <w:sz w:val="22"/>
          <w:szCs w:val="22"/>
        </w:rPr>
        <w:t xml:space="preserve">3. SUMMARY &amp; PRIORITIZATION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Based on the assessment, TechBridge Solutions has critical gaps in Detect, Respond, and Recover functions. Immediate priorities should be: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Priority 1 (0–30 days): Document and approve an Incident Response Plan; assign IRP roles.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Priority 2 (30–60 days): Implement vulnerability scanning program; establish monthly scan cadence.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Priority 3 (60–90 days): Deploy SIEM for centralized log monitoring and alerting.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2C5F8A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Priority 4 (90–180 days): Develop BC/DR plan; test backup restoration; launch security awareness training.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IDENTIFY and PROTECT functions show moderate maturity. Key partial controls (IAM, remote access, backups) should be fully implemented within 60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2026-07-02T04:37:55.661Z</dcterms:created>
  <dcterms:modified xsi:type="dcterms:W3CDTF">2026-07-02T04:37:55.661Z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