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2D5A" w:val="clear"/>
        <w:spacing w:after="60" w:before="800"/>
        <w:jc w:val="center"/>
      </w:pPr>
      <w:r>
        <w:rPr>
          <w:rFonts w:ascii="Calibri" w:cs="Calibri" w:eastAsia="Calibri" w:hAnsi="Calibri"/>
          <w:b w:val="false"/>
          <w:bCs w:val="false"/>
          <w:color w:val="FFFFFF"/>
          <w:sz w:val="18"/>
          <w:szCs w:val="18"/>
        </w:rPr>
        <w:t xml:space="preserve">GRC PORTFOLIO PROJECT 4</w:t>
      </w:r>
    </w:p>
    <w:p>
      <w:pPr>
        <w:shd w:fill="1F2D5A" w:val="clear"/>
        <w:spacing w:after="60" w:before="60"/>
        <w:jc w:val="center"/>
      </w:pPr>
      <w:r>
        <w:rPr>
          <w:rFonts w:ascii="Calibri" w:cs="Calibri" w:eastAsia="Calibri" w:hAnsi="Calibri"/>
          <w:b/>
          <w:bCs/>
          <w:color w:val="FFFFFF"/>
          <w:sz w:val="36"/>
          <w:szCs w:val="36"/>
        </w:rPr>
        <w:t xml:space="preserve">Audit-Style Finding Report</w:t>
      </w:r>
    </w:p>
    <w:p>
      <w:pPr>
        <w:shd w:fill="1F2D5A" w:val="clear"/>
        <w:spacing w:after="60" w:before="60"/>
        <w:jc w:val="center"/>
      </w:pPr>
      <w:r>
        <w:rPr>
          <w:rFonts w:ascii="Calibri" w:cs="Calibri" w:eastAsia="Calibri" w:hAnsi="Calibri"/>
          <w:b w:val="false"/>
          <w:bCs w:val="false"/>
          <w:color w:val="FFFFFF"/>
          <w:sz w:val="20"/>
          <w:szCs w:val="20"/>
        </w:rPr>
        <w:t xml:space="preserve">IT Security Control Assessment — Formal Finding Documentation</w:t>
      </w:r>
    </w:p>
    <w:p>
      <w:pPr>
        <w:shd w:fill="1F2D5A" w:val="clear"/>
        <w:spacing w:after="60" w:before="60"/>
        <w:jc w:val="center"/>
      </w:pPr>
      <w:r>
        <w:rPr>
          <w:rFonts w:ascii="Calibri" w:cs="Calibri" w:eastAsia="Calibri" w:hAnsi="Calibri"/>
          <w:b w:val="false"/>
          <w:bCs w:val="false"/>
          <w:color w:val="FFFFFF"/>
          <w:sz w:val="14"/>
          <w:szCs w:val="14"/>
        </w:rPr>
        <w:t xml:space="preserve"> </w:t>
      </w:r>
    </w:p>
    <w:p>
      <w:pPr>
        <w:shd w:fill="1F2D5A" w:val="clear"/>
        <w:spacing w:after="60" w:before="60"/>
        <w:jc w:val="center"/>
      </w:pPr>
      <w:r>
        <w:rPr>
          <w:rFonts w:ascii="Calibri" w:cs="Calibri" w:eastAsia="Calibri" w:hAnsi="Calibri"/>
          <w:b w:val="false"/>
          <w:bCs w:val="false"/>
          <w:color w:val="FFFFFF"/>
          <w:sz w:val="18"/>
          <w:szCs w:val="18"/>
        </w:rPr>
        <w:t xml:space="preserve">Organization: TechBridge Solutions  |  Auditor: Manveer Grewal</w:t>
      </w:r>
    </w:p>
    <w:p>
      <w:pPr>
        <w:shd w:fill="1F2D5A" w:val="clear"/>
        <w:spacing w:after="800" w:before="60"/>
        <w:jc w:val="center"/>
      </w:pPr>
      <w:r>
        <w:rPr>
          <w:rFonts w:ascii="Calibri" w:cs="Calibri" w:eastAsia="Calibri" w:hAnsi="Calibri"/>
          <w:b w:val="false"/>
          <w:bCs w:val="false"/>
          <w:color w:val="FFFFFF"/>
          <w:sz w:val="18"/>
          <w:szCs w:val="18"/>
        </w:rPr>
        <w:t xml:space="preserve">Date: July 2, 2026  |  Audit Period: Q2 2026</w:t>
      </w:r>
    </w:p>
    <w:p>
      <w:pPr>
        <w:spacing w:after="80" w:before="220"/>
      </w:pPr>
      <w:r>
        <w:rPr>
          <w:rFonts w:ascii="Calibri" w:cs="Calibri" w:eastAsia="Calibri" w:hAnsi="Calibri"/>
          <w:b/>
          <w:bCs/>
          <w:color w:val="1F2D5A"/>
          <w:sz w:val="22"/>
          <w:szCs w:val="22"/>
        </w:rPr>
        <w:t xml:space="preserve">REPORT OVERVIEW</w:t>
      </w:r>
    </w:p>
    <w:p>
      <w:pPr>
        <w:spacing w:after="60" w:before="60"/>
      </w:pPr>
      <w:r>
        <w:rPr>
          <w:rFonts w:ascii="Calibri" w:cs="Calibri" w:eastAsia="Calibri" w:hAnsi="Calibri"/>
          <w:color w:val="222222"/>
          <w:sz w:val="20"/>
          <w:szCs w:val="20"/>
        </w:rPr>
        <w:t xml:space="preserve">This report documents formal audit findings identified during an IT security control assessment of TechBridge Solutions. Each finding follows the standard audit finding format: Condition, Criteria, Cause, Effect, and Recommendation — the same structure used by internal audit teams and external auditors.</w:t>
      </w:r>
    </w:p>
    <w:p>
      <w:pPr>
        <w:spacing w:after="30" w:before="30"/>
      </w:pPr>
      <w:r>
        <w:rPr>
          <w:rFonts w:ascii="Calibri" w:cs="Calibri" w:eastAsia="Calibri" w:hAnsi="Calibri"/>
          <w:b/>
          <w:bCs/>
          <w:color w:val="1F2D5A"/>
          <w:sz w:val="20"/>
          <w:szCs w:val="20"/>
        </w:rPr>
        <w:t xml:space="preserve">Total Findings: </w:t>
      </w:r>
      <w:r>
        <w:rPr>
          <w:rFonts w:ascii="Calibri" w:cs="Calibri" w:eastAsia="Calibri" w:hAnsi="Calibri"/>
          <w:color w:val="333333"/>
          <w:sz w:val="20"/>
          <w:szCs w:val="20"/>
        </w:rPr>
        <w:t xml:space="preserve">4</w:t>
      </w:r>
    </w:p>
    <w:p>
      <w:pPr>
        <w:spacing w:after="30" w:before="30"/>
      </w:pPr>
      <w:r>
        <w:rPr>
          <w:rFonts w:ascii="Calibri" w:cs="Calibri" w:eastAsia="Calibri" w:hAnsi="Calibri"/>
          <w:b/>
          <w:bCs/>
          <w:color w:val="1F2D5A"/>
          <w:sz w:val="20"/>
          <w:szCs w:val="20"/>
        </w:rPr>
        <w:t xml:space="preserve">Critical: </w:t>
      </w:r>
      <w:r>
        <w:rPr>
          <w:rFonts w:ascii="Calibri" w:cs="Calibri" w:eastAsia="Calibri" w:hAnsi="Calibri"/>
          <w:color w:val="333333"/>
          <w:sz w:val="20"/>
          <w:szCs w:val="20"/>
        </w:rPr>
        <w:t xml:space="preserve">1   |   High: 1   |   Medium: 1   |   Low: 1</w:t>
      </w:r>
    </w:p>
    <w:p>
      <w:pPr>
        <w:spacing w:after="30" w:before="30"/>
      </w:pPr>
      <w:r>
        <w:rPr>
          <w:rFonts w:ascii="Calibri" w:cs="Calibri" w:eastAsia="Calibri" w:hAnsi="Calibri"/>
          <w:b/>
          <w:bCs/>
          <w:color w:val="1F2D5A"/>
          <w:sz w:val="20"/>
          <w:szCs w:val="20"/>
        </w:rPr>
        <w:t xml:space="preserve">Audit Scope: </w:t>
      </w:r>
      <w:r>
        <w:rPr>
          <w:rFonts w:ascii="Calibri" w:cs="Calibri" w:eastAsia="Calibri" w:hAnsi="Calibri"/>
          <w:color w:val="333333"/>
          <w:sz w:val="20"/>
          <w:szCs w:val="20"/>
        </w:rPr>
        <w:t xml:space="preserve">Access Control, Incident Response, Security Monitoring, Patch Management</w:t>
      </w:r>
    </w:p>
    <w:p>
      <w:pPr>
        <w:spacing w:after="30" w:before="30"/>
      </w:pPr>
      <w:r>
        <w:rPr>
          <w:rFonts w:ascii="Calibri" w:cs="Calibri" w:eastAsia="Calibri" w:hAnsi="Calibri"/>
          <w:b/>
          <w:bCs/>
          <w:color w:val="1F2D5A"/>
          <w:sz w:val="20"/>
          <w:szCs w:val="20"/>
        </w:rPr>
        <w:t xml:space="preserve">Auditor: </w:t>
      </w:r>
      <w:r>
        <w:rPr>
          <w:rFonts w:ascii="Calibri" w:cs="Calibri" w:eastAsia="Calibri" w:hAnsi="Calibri"/>
          <w:color w:val="333333"/>
          <w:sz w:val="20"/>
          <w:szCs w:val="20"/>
        </w:rPr>
        <w:t xml:space="preserve">Manveer Grewal, IT &amp; Cybersecurity Student, George Mason University</w:t>
      </w:r>
    </w:p>
    <w:p>
      <w:pPr>
        <w:spacing w:after="60" w:before="200"/>
      </w:pPr>
      <w:r>
        <w:rPr>
          <w:rFonts w:ascii="Calibri" w:cs="Calibri" w:eastAsia="Calibri" w:hAnsi="Calibri"/>
          <w:b/>
          <w:bCs/>
          <w:color w:val="1F2D5A"/>
          <w:sz w:val="22"/>
          <w:szCs w:val="22"/>
        </w:rPr>
        <w:t xml:space="preserve">Finding 1: </w:t>
      </w:r>
      <w:r>
        <w:rPr>
          <w:rFonts w:ascii="Calibri" w:cs="Calibri" w:eastAsia="Calibri" w:hAnsi="Calibri"/>
          <w:b/>
          <w:bCs/>
          <w:color w:val="1F2D5A"/>
          <w:sz w:val="22"/>
          <w:szCs w:val="22"/>
        </w:rPr>
        <w:t xml:space="preserve">Absence of Multi-Factor Authentication on Critical Systems</w:t>
      </w:r>
      <w:r>
        <w:rPr>
          <w:rFonts w:ascii="Calibri" w:cs="Calibri" w:eastAsia="Calibri" w:hAnsi="Calibri"/>
          <w:b/>
          <w:bCs/>
          <w:color w:val="FF0000"/>
          <w:sz w:val="20"/>
          <w:szCs w:val="20"/>
        </w:rPr>
        <w:t xml:space="preserve">   [Critical]</w:t>
      </w:r>
    </w:p>
    <w:p>
      <w:pPr>
        <w:pBdr>
          <w:bottom w:val="single" w:color="2C5F8A" w:sz="8" w:space="2"/>
        </w:pBdr>
        <w:spacing w:after="60" w:before="100"/>
      </w:pPr>
    </w:p>
    <w:p>
      <w:pPr>
        <w:spacing w:after="30" w:before="30"/>
      </w:pPr>
      <w:r>
        <w:rPr>
          <w:rFonts w:ascii="Calibri" w:cs="Calibri" w:eastAsia="Calibri" w:hAnsi="Calibri"/>
          <w:b/>
          <w:bCs/>
          <w:color w:val="1F2D5A"/>
          <w:sz w:val="20"/>
          <w:szCs w:val="20"/>
        </w:rPr>
        <w:t xml:space="preserve">Control Reference: </w:t>
      </w:r>
      <w:r>
        <w:rPr>
          <w:rFonts w:ascii="Calibri" w:cs="Calibri" w:eastAsia="Calibri" w:hAnsi="Calibri"/>
          <w:color w:val="333333"/>
          <w:sz w:val="20"/>
          <w:szCs w:val="20"/>
        </w:rPr>
        <w:t xml:space="preserve">NIST CSF PR.AC-1 | CIS Control 6.3 | ISO 27001 A.9.4.2</w:t>
      </w:r>
    </w:p>
    <w:p>
      <w:pPr>
        <w:spacing w:after="30" w:before="80"/>
      </w:pPr>
      <w:r>
        <w:rPr>
          <w:rFonts w:ascii="Calibri" w:cs="Calibri" w:eastAsia="Calibri" w:hAnsi="Calibri"/>
          <w:b/>
          <w:bCs/>
          <w:color w:val="1F2D5A"/>
          <w:sz w:val="20"/>
          <w:szCs w:val="20"/>
        </w:rPr>
        <w:t xml:space="preserve">Condition (What We Found)</w:t>
      </w:r>
    </w:p>
    <w:p>
      <w:pPr>
        <w:spacing w:after="60" w:before="20"/>
      </w:pPr>
      <w:r>
        <w:rPr>
          <w:rFonts w:ascii="Calibri" w:cs="Calibri" w:eastAsia="Calibri" w:hAnsi="Calibri"/>
          <w:color w:val="222222"/>
          <w:sz w:val="20"/>
          <w:szCs w:val="20"/>
        </w:rPr>
        <w:t xml:space="preserve">During testing, it was determined that multi-factor authentication (MFA) is not enforced on any company systems, including the corporate email platform, VPN gateway, and cloud-hosted administrative portals. All 47 user accounts reviewed rely solely on single-factor (password-only) authentication.</w:t>
      </w:r>
    </w:p>
    <w:p>
      <w:pPr>
        <w:spacing w:after="30" w:before="80"/>
      </w:pPr>
      <w:r>
        <w:rPr>
          <w:rFonts w:ascii="Calibri" w:cs="Calibri" w:eastAsia="Calibri" w:hAnsi="Calibri"/>
          <w:b/>
          <w:bCs/>
          <w:color w:val="1F2D5A"/>
          <w:sz w:val="20"/>
          <w:szCs w:val="20"/>
        </w:rPr>
        <w:t xml:space="preserve">Criteria (What Should Be)</w:t>
      </w:r>
    </w:p>
    <w:p>
      <w:pPr>
        <w:spacing w:after="60" w:before="20"/>
      </w:pPr>
      <w:r>
        <w:rPr>
          <w:rFonts w:ascii="Calibri" w:cs="Calibri" w:eastAsia="Calibri" w:hAnsi="Calibri"/>
          <w:color w:val="222222"/>
          <w:sz w:val="20"/>
          <w:szCs w:val="20"/>
        </w:rPr>
        <w:t xml:space="preserve">Per NIST CSF PR.AC-1 and CIS Control 6.3, organizations should implement MFA for all users, particularly for access to sensitive systems and remote access solutions. Industry best practice and most regulatory frameworks (SOC 2, HIPAA, PCI-DSS) require MFA as a baseline control.</w:t>
      </w:r>
    </w:p>
    <w:p>
      <w:pPr>
        <w:spacing w:after="30" w:before="80"/>
      </w:pPr>
      <w:r>
        <w:rPr>
          <w:rFonts w:ascii="Calibri" w:cs="Calibri" w:eastAsia="Calibri" w:hAnsi="Calibri"/>
          <w:b/>
          <w:bCs/>
          <w:color w:val="1F2D5A"/>
          <w:sz w:val="20"/>
          <w:szCs w:val="20"/>
        </w:rPr>
        <w:t xml:space="preserve">Cause (Why It Happened)</w:t>
      </w:r>
    </w:p>
    <w:p>
      <w:pPr>
        <w:spacing w:after="60" w:before="20"/>
      </w:pPr>
      <w:r>
        <w:rPr>
          <w:rFonts w:ascii="Calibri" w:cs="Calibri" w:eastAsia="Calibri" w:hAnsi="Calibri"/>
          <w:color w:val="222222"/>
          <w:sz w:val="20"/>
          <w:szCs w:val="20"/>
        </w:rPr>
        <w:t xml:space="preserve">MFA was not included in the original system deployment requirements. No formal access control standard has been documented or approved that mandates MFA. IT management indicated awareness of the gap but cited resource constraints as the reason for non-implementation.</w:t>
      </w:r>
    </w:p>
    <w:p>
      <w:pPr>
        <w:spacing w:after="30" w:before="80"/>
      </w:pPr>
      <w:r>
        <w:rPr>
          <w:rFonts w:ascii="Calibri" w:cs="Calibri" w:eastAsia="Calibri" w:hAnsi="Calibri"/>
          <w:b/>
          <w:bCs/>
          <w:color w:val="1F2D5A"/>
          <w:sz w:val="20"/>
          <w:szCs w:val="20"/>
        </w:rPr>
        <w:t xml:space="preserve">Effect (Potential Impact)</w:t>
      </w:r>
    </w:p>
    <w:p>
      <w:pPr>
        <w:spacing w:after="60" w:before="20"/>
      </w:pPr>
      <w:r>
        <w:rPr>
          <w:rFonts w:ascii="Calibri" w:cs="Calibri" w:eastAsia="Calibri" w:hAnsi="Calibri"/>
          <w:color w:val="222222"/>
          <w:sz w:val="20"/>
          <w:szCs w:val="20"/>
        </w:rPr>
        <w:t xml:space="preserve">Without MFA, a single compromised password is sufficient to grant an attacker full access to corporate systems, email, and cloud environments. This significantly increases the risk of account takeover, data breach, and business disruption. The organization is also exposed to non-compliance with customer security requirements and regulatory frameworks that mandate MFA.</w:t>
      </w:r>
    </w:p>
    <w:p>
      <w:pPr>
        <w:spacing w:after="30" w:before="80"/>
      </w:pPr>
      <w:r>
        <w:rPr>
          <w:rFonts w:ascii="Calibri" w:cs="Calibri" w:eastAsia="Calibri" w:hAnsi="Calibri"/>
          <w:b/>
          <w:bCs/>
          <w:color w:val="1F2D5A"/>
          <w:sz w:val="20"/>
          <w:szCs w:val="20"/>
        </w:rPr>
        <w:t xml:space="preserve">Recommendation</w:t>
      </w:r>
    </w:p>
    <w:p>
      <w:pPr>
        <w:spacing w:after="60" w:before="20"/>
      </w:pPr>
      <w:r>
        <w:rPr>
          <w:rFonts w:ascii="Calibri" w:cs="Calibri" w:eastAsia="Calibri" w:hAnsi="Calibri"/>
          <w:color w:val="222222"/>
          <w:sz w:val="20"/>
          <w:szCs w:val="20"/>
        </w:rPr>
        <w:t xml:space="preserve">Management should implement MFA across all systems within 60 days, prioritizing email, VPN, and cloud administrative access. A phased rollout plan should be documented with target dates and executive approval. Microsoft Authenticator or similar solutions can be deployed at low cost and integrated with existing Active Directory infrastructure.</w:t>
      </w:r>
    </w:p>
    <w:p>
      <w:r>
        <w:br w:type="page"/>
      </w:r>
    </w:p>
    <w:p>
      <w:pPr>
        <w:spacing w:after="60" w:before="200"/>
      </w:pPr>
      <w:r>
        <w:rPr>
          <w:rFonts w:ascii="Calibri" w:cs="Calibri" w:eastAsia="Calibri" w:hAnsi="Calibri"/>
          <w:b/>
          <w:bCs/>
          <w:color w:val="1F2D5A"/>
          <w:sz w:val="22"/>
          <w:szCs w:val="22"/>
        </w:rPr>
        <w:t xml:space="preserve">Finding 2: </w:t>
      </w:r>
      <w:r>
        <w:rPr>
          <w:rFonts w:ascii="Calibri" w:cs="Calibri" w:eastAsia="Calibri" w:hAnsi="Calibri"/>
          <w:b/>
          <w:bCs/>
          <w:color w:val="1F2D5A"/>
          <w:sz w:val="22"/>
          <w:szCs w:val="22"/>
        </w:rPr>
        <w:t xml:space="preserve">No Documented Incident Response Plan</w:t>
      </w:r>
      <w:r>
        <w:rPr>
          <w:rFonts w:ascii="Calibri" w:cs="Calibri" w:eastAsia="Calibri" w:hAnsi="Calibri"/>
          <w:b/>
          <w:bCs/>
          <w:color w:val="FF6600"/>
          <w:sz w:val="20"/>
          <w:szCs w:val="20"/>
        </w:rPr>
        <w:t xml:space="preserve">   [High]</w:t>
      </w:r>
    </w:p>
    <w:p>
      <w:pPr>
        <w:pBdr>
          <w:bottom w:val="single" w:color="2C5F8A" w:sz="8" w:space="2"/>
        </w:pBdr>
        <w:spacing w:after="60" w:before="100"/>
      </w:pPr>
    </w:p>
    <w:p>
      <w:pPr>
        <w:spacing w:after="30" w:before="30"/>
      </w:pPr>
      <w:r>
        <w:rPr>
          <w:rFonts w:ascii="Calibri" w:cs="Calibri" w:eastAsia="Calibri" w:hAnsi="Calibri"/>
          <w:b/>
          <w:bCs/>
          <w:color w:val="1F2D5A"/>
          <w:sz w:val="20"/>
          <w:szCs w:val="20"/>
        </w:rPr>
        <w:t xml:space="preserve">Control Reference: </w:t>
      </w:r>
      <w:r>
        <w:rPr>
          <w:rFonts w:ascii="Calibri" w:cs="Calibri" w:eastAsia="Calibri" w:hAnsi="Calibri"/>
          <w:color w:val="333333"/>
          <w:sz w:val="20"/>
          <w:szCs w:val="20"/>
        </w:rPr>
        <w:t xml:space="preserve">NIST CSF RS.RP-1 | NIST SP 800-61 | ISO 27001 A.16.1.5</w:t>
      </w:r>
    </w:p>
    <w:p>
      <w:pPr>
        <w:spacing w:after="30" w:before="80"/>
      </w:pPr>
      <w:r>
        <w:rPr>
          <w:rFonts w:ascii="Calibri" w:cs="Calibri" w:eastAsia="Calibri" w:hAnsi="Calibri"/>
          <w:b/>
          <w:bCs/>
          <w:color w:val="1F2D5A"/>
          <w:sz w:val="20"/>
          <w:szCs w:val="20"/>
        </w:rPr>
        <w:t xml:space="preserve">Condition (What We Found)</w:t>
      </w:r>
    </w:p>
    <w:p>
      <w:pPr>
        <w:spacing w:after="60" w:before="20"/>
      </w:pPr>
      <w:r>
        <w:rPr>
          <w:rFonts w:ascii="Calibri" w:cs="Calibri" w:eastAsia="Calibri" w:hAnsi="Calibri"/>
          <w:color w:val="222222"/>
          <w:sz w:val="20"/>
          <w:szCs w:val="20"/>
        </w:rPr>
        <w:t xml:space="preserve">The organization has no documented Incident Response Plan (IRP). When asked, IT staff described an informal, ad hoc process of notifying the IT Manager by phone. No roles, escalation paths, communication templates, or recovery procedures have been defined. No tabletop exercise or IRP test has ever been conducted.</w:t>
      </w:r>
    </w:p>
    <w:p>
      <w:pPr>
        <w:spacing w:after="30" w:before="80"/>
      </w:pPr>
      <w:r>
        <w:rPr>
          <w:rFonts w:ascii="Calibri" w:cs="Calibri" w:eastAsia="Calibri" w:hAnsi="Calibri"/>
          <w:b/>
          <w:bCs/>
          <w:color w:val="1F2D5A"/>
          <w:sz w:val="20"/>
          <w:szCs w:val="20"/>
        </w:rPr>
        <w:t xml:space="preserve">Criteria (What Should Be)</w:t>
      </w:r>
    </w:p>
    <w:p>
      <w:pPr>
        <w:spacing w:after="60" w:before="20"/>
      </w:pPr>
      <w:r>
        <w:rPr>
          <w:rFonts w:ascii="Calibri" w:cs="Calibri" w:eastAsia="Calibri" w:hAnsi="Calibri"/>
          <w:color w:val="222222"/>
          <w:sz w:val="20"/>
          <w:szCs w:val="20"/>
        </w:rPr>
        <w:t xml:space="preserve">NIST CSF RS.RP-1 requires that a response plan be executed during or after a cybersecurity incident. NIST SP 800-61 provides detailed guidance for developing IRPs, including defined phases: Preparation, Detection &amp; Analysis, Containment, Eradication, Recovery, and Post-Incident Activity. An approved IRP is also a baseline requirement for most cyber insurance policies.</w:t>
      </w:r>
    </w:p>
    <w:p>
      <w:pPr>
        <w:spacing w:after="30" w:before="80"/>
      </w:pPr>
      <w:r>
        <w:rPr>
          <w:rFonts w:ascii="Calibri" w:cs="Calibri" w:eastAsia="Calibri" w:hAnsi="Calibri"/>
          <w:b/>
          <w:bCs/>
          <w:color w:val="1F2D5A"/>
          <w:sz w:val="20"/>
          <w:szCs w:val="20"/>
        </w:rPr>
        <w:t xml:space="preserve">Cause (Why It Happened)</w:t>
      </w:r>
    </w:p>
    <w:p>
      <w:pPr>
        <w:spacing w:after="60" w:before="20"/>
      </w:pPr>
      <w:r>
        <w:rPr>
          <w:rFonts w:ascii="Calibri" w:cs="Calibri" w:eastAsia="Calibri" w:hAnsi="Calibri"/>
          <w:color w:val="222222"/>
          <w:sz w:val="20"/>
          <w:szCs w:val="20"/>
        </w:rPr>
        <w:t xml:space="preserve">Incident response has historically been handled reactively. Leadership has not prioritized formalization of the process, and no budget or ownership has been assigned for IRP development.</w:t>
      </w:r>
    </w:p>
    <w:p>
      <w:pPr>
        <w:spacing w:after="30" w:before="80"/>
      </w:pPr>
      <w:r>
        <w:rPr>
          <w:rFonts w:ascii="Calibri" w:cs="Calibri" w:eastAsia="Calibri" w:hAnsi="Calibri"/>
          <w:b/>
          <w:bCs/>
          <w:color w:val="1F2D5A"/>
          <w:sz w:val="20"/>
          <w:szCs w:val="20"/>
        </w:rPr>
        <w:t xml:space="preserve">Effect (Potential Impact)</w:t>
      </w:r>
    </w:p>
    <w:p>
      <w:pPr>
        <w:spacing w:after="60" w:before="20"/>
      </w:pPr>
      <w:r>
        <w:rPr>
          <w:rFonts w:ascii="Calibri" w:cs="Calibri" w:eastAsia="Calibri" w:hAnsi="Calibri"/>
          <w:color w:val="222222"/>
          <w:sz w:val="20"/>
          <w:szCs w:val="20"/>
        </w:rPr>
        <w:t xml:space="preserve">In the event of a ransomware attack, data breach, or system outage, the absence of an IRP will result in delayed and inconsistent response, longer recovery times, increased financial and reputational damage, and potential regulatory penalties. The organization may also be unable to meet cyber insurance claim requirements without documented evidence of an IRP.</w:t>
      </w:r>
    </w:p>
    <w:p>
      <w:pPr>
        <w:spacing w:after="30" w:before="80"/>
      </w:pPr>
      <w:r>
        <w:rPr>
          <w:rFonts w:ascii="Calibri" w:cs="Calibri" w:eastAsia="Calibri" w:hAnsi="Calibri"/>
          <w:b/>
          <w:bCs/>
          <w:color w:val="1F2D5A"/>
          <w:sz w:val="20"/>
          <w:szCs w:val="20"/>
        </w:rPr>
        <w:t xml:space="preserve">Recommendation</w:t>
      </w:r>
    </w:p>
    <w:p>
      <w:pPr>
        <w:spacing w:after="60" w:before="20"/>
      </w:pPr>
      <w:r>
        <w:rPr>
          <w:rFonts w:ascii="Calibri" w:cs="Calibri" w:eastAsia="Calibri" w:hAnsi="Calibri"/>
          <w:color w:val="222222"/>
          <w:sz w:val="20"/>
          <w:szCs w:val="20"/>
        </w:rPr>
        <w:t xml:space="preserve">The CISO or IT Security Manager should lead the development of a formal IRP within 90 days. The plan should define: incident classification tiers, roles and responsibilities (Incident Commander, Technical Lead, Communications Lead), escalation and notification procedures, containment and eradication steps, and a post-incident review process. Following development, an annual tabletop exercise should be conducted to test the plan.</w:t>
      </w:r>
    </w:p>
    <w:p>
      <w:r>
        <w:br w:type="page"/>
      </w:r>
    </w:p>
    <w:p>
      <w:pPr>
        <w:spacing w:after="60" w:before="200"/>
      </w:pPr>
      <w:r>
        <w:rPr>
          <w:rFonts w:ascii="Calibri" w:cs="Calibri" w:eastAsia="Calibri" w:hAnsi="Calibri"/>
          <w:b/>
          <w:bCs/>
          <w:color w:val="1F2D5A"/>
          <w:sz w:val="22"/>
          <w:szCs w:val="22"/>
        </w:rPr>
        <w:t xml:space="preserve">Finding 3: </w:t>
      </w:r>
      <w:r>
        <w:rPr>
          <w:rFonts w:ascii="Calibri" w:cs="Calibri" w:eastAsia="Calibri" w:hAnsi="Calibri"/>
          <w:b/>
          <w:bCs/>
          <w:color w:val="1F2D5A"/>
          <w:sz w:val="22"/>
          <w:szCs w:val="22"/>
        </w:rPr>
        <w:t xml:space="preserve">Backup Restoration Has Not Been Tested</w:t>
      </w:r>
      <w:r>
        <w:rPr>
          <w:rFonts w:ascii="Calibri" w:cs="Calibri" w:eastAsia="Calibri" w:hAnsi="Calibri"/>
          <w:b/>
          <w:bCs/>
          <w:color w:val="FFC000"/>
          <w:sz w:val="20"/>
          <w:szCs w:val="20"/>
        </w:rPr>
        <w:t xml:space="preserve">   [Medium]</w:t>
      </w:r>
    </w:p>
    <w:p>
      <w:pPr>
        <w:pBdr>
          <w:bottom w:val="single" w:color="2C5F8A" w:sz="8" w:space="2"/>
        </w:pBdr>
        <w:spacing w:after="60" w:before="100"/>
      </w:pPr>
    </w:p>
    <w:p>
      <w:pPr>
        <w:spacing w:after="30" w:before="30"/>
      </w:pPr>
      <w:r>
        <w:rPr>
          <w:rFonts w:ascii="Calibri" w:cs="Calibri" w:eastAsia="Calibri" w:hAnsi="Calibri"/>
          <w:b/>
          <w:bCs/>
          <w:color w:val="1F2D5A"/>
          <w:sz w:val="20"/>
          <w:szCs w:val="20"/>
        </w:rPr>
        <w:t xml:space="preserve">Control Reference: </w:t>
      </w:r>
      <w:r>
        <w:rPr>
          <w:rFonts w:ascii="Calibri" w:cs="Calibri" w:eastAsia="Calibri" w:hAnsi="Calibri"/>
          <w:color w:val="333333"/>
          <w:sz w:val="20"/>
          <w:szCs w:val="20"/>
        </w:rPr>
        <w:t xml:space="preserve">NIST CSF PR.IP-4 | CIS Control 11 | ISO 27001 A.12.3.1</w:t>
      </w:r>
    </w:p>
    <w:p>
      <w:pPr>
        <w:spacing w:after="30" w:before="80"/>
      </w:pPr>
      <w:r>
        <w:rPr>
          <w:rFonts w:ascii="Calibri" w:cs="Calibri" w:eastAsia="Calibri" w:hAnsi="Calibri"/>
          <w:b/>
          <w:bCs/>
          <w:color w:val="1F2D5A"/>
          <w:sz w:val="20"/>
          <w:szCs w:val="20"/>
        </w:rPr>
        <w:t xml:space="preserve">Condition (What We Found)</w:t>
      </w:r>
    </w:p>
    <w:p>
      <w:pPr>
        <w:spacing w:after="60" w:before="20"/>
      </w:pPr>
      <w:r>
        <w:rPr>
          <w:rFonts w:ascii="Calibri" w:cs="Calibri" w:eastAsia="Calibri" w:hAnsi="Calibri"/>
          <w:color w:val="222222"/>
          <w:sz w:val="20"/>
          <w:szCs w:val="20"/>
        </w:rPr>
        <w:t xml:space="preserve">While TechBridge Solutions performs nightly data backups to an on-site server, backup restoration has not been tested in over 14 months. Interview with the IT Operations team confirmed that no documented restoration test procedure exists, and the last informal test was conducted in April 2025 for a single file recovery.</w:t>
      </w:r>
    </w:p>
    <w:p>
      <w:pPr>
        <w:spacing w:after="30" w:before="80"/>
      </w:pPr>
      <w:r>
        <w:rPr>
          <w:rFonts w:ascii="Calibri" w:cs="Calibri" w:eastAsia="Calibri" w:hAnsi="Calibri"/>
          <w:b/>
          <w:bCs/>
          <w:color w:val="1F2D5A"/>
          <w:sz w:val="20"/>
          <w:szCs w:val="20"/>
        </w:rPr>
        <w:t xml:space="preserve">Criteria (What Should Be)</w:t>
      </w:r>
    </w:p>
    <w:p>
      <w:pPr>
        <w:spacing w:after="60" w:before="20"/>
      </w:pPr>
      <w:r>
        <w:rPr>
          <w:rFonts w:ascii="Calibri" w:cs="Calibri" w:eastAsia="Calibri" w:hAnsi="Calibri"/>
          <w:color w:val="222222"/>
          <w:sz w:val="20"/>
          <w:szCs w:val="20"/>
        </w:rPr>
        <w:t xml:space="preserve">NIST CSF PR.IP-4 and CIS Control 11 require that backups be conducted, maintained, and tested. Best practice requires full restoration testing at least quarterly to validate that backups are complete, uncorrupted, and recoverable within defined Recovery Time Objectives (RTOs).</w:t>
      </w:r>
    </w:p>
    <w:p>
      <w:pPr>
        <w:spacing w:after="30" w:before="80"/>
      </w:pPr>
      <w:r>
        <w:rPr>
          <w:rFonts w:ascii="Calibri" w:cs="Calibri" w:eastAsia="Calibri" w:hAnsi="Calibri"/>
          <w:b/>
          <w:bCs/>
          <w:color w:val="1F2D5A"/>
          <w:sz w:val="20"/>
          <w:szCs w:val="20"/>
        </w:rPr>
        <w:t xml:space="preserve">Cause (Why It Happened)</w:t>
      </w:r>
    </w:p>
    <w:p>
      <w:pPr>
        <w:spacing w:after="60" w:before="20"/>
      </w:pPr>
      <w:r>
        <w:rPr>
          <w:rFonts w:ascii="Calibri" w:cs="Calibri" w:eastAsia="Calibri" w:hAnsi="Calibri"/>
          <w:color w:val="222222"/>
          <w:sz w:val="20"/>
          <w:szCs w:val="20"/>
        </w:rPr>
        <w:t xml:space="preserve">Backup restoration testing was deprioritized due to IT resource constraints. No formal backup policy or testing schedule exists. The responsibility for backup testing has not been formally assigned to a specific role.</w:t>
      </w:r>
    </w:p>
    <w:p>
      <w:pPr>
        <w:spacing w:after="30" w:before="80"/>
      </w:pPr>
      <w:r>
        <w:rPr>
          <w:rFonts w:ascii="Calibri" w:cs="Calibri" w:eastAsia="Calibri" w:hAnsi="Calibri"/>
          <w:b/>
          <w:bCs/>
          <w:color w:val="1F2D5A"/>
          <w:sz w:val="20"/>
          <w:szCs w:val="20"/>
        </w:rPr>
        <w:t xml:space="preserve">Effect (Potential Impact)</w:t>
      </w:r>
    </w:p>
    <w:p>
      <w:pPr>
        <w:spacing w:after="60" w:before="20"/>
      </w:pPr>
      <w:r>
        <w:rPr>
          <w:rFonts w:ascii="Calibri" w:cs="Calibri" w:eastAsia="Calibri" w:hAnsi="Calibri"/>
          <w:color w:val="222222"/>
          <w:sz w:val="20"/>
          <w:szCs w:val="20"/>
        </w:rPr>
        <w:t xml:space="preserve">Untested backups create a false sense of security. If a ransomware attack or hardware failure occurs, the organization may discover that backups are corrupted, incomplete, or unrestorable — resulting in significant and potentially permanent data loss. Without defined RTOs, recovery timelines are unknown, risking extended business disruption.</w:t>
      </w:r>
    </w:p>
    <w:p>
      <w:pPr>
        <w:spacing w:after="30" w:before="80"/>
      </w:pPr>
      <w:r>
        <w:rPr>
          <w:rFonts w:ascii="Calibri" w:cs="Calibri" w:eastAsia="Calibri" w:hAnsi="Calibri"/>
          <w:b/>
          <w:bCs/>
          <w:color w:val="1F2D5A"/>
          <w:sz w:val="20"/>
          <w:szCs w:val="20"/>
        </w:rPr>
        <w:t xml:space="preserve">Recommendation</w:t>
      </w:r>
    </w:p>
    <w:p>
      <w:pPr>
        <w:spacing w:after="60" w:before="20"/>
      </w:pPr>
      <w:r>
        <w:rPr>
          <w:rFonts w:ascii="Calibri" w:cs="Calibri" w:eastAsia="Calibri" w:hAnsi="Calibri"/>
          <w:color w:val="222222"/>
          <w:sz w:val="20"/>
          <w:szCs w:val="20"/>
        </w:rPr>
        <w:t xml:space="preserve">IT Operations should implement a quarterly backup restoration testing schedule, documented in a formal Backup &amp; Recovery Policy. Tests should include full-system restoration in addition to file-level recovery. Results should be logged and reviewed by IT management. An offsite or cloud backup copy should also be maintained following the 3-2-1 rule (3 copies, 2 media types, 1 offsite).</w:t>
      </w:r>
    </w:p>
    <w:p>
      <w:r>
        <w:br w:type="page"/>
      </w:r>
    </w:p>
    <w:p>
      <w:pPr>
        <w:spacing w:after="60" w:before="200"/>
      </w:pPr>
      <w:r>
        <w:rPr>
          <w:rFonts w:ascii="Calibri" w:cs="Calibri" w:eastAsia="Calibri" w:hAnsi="Calibri"/>
          <w:b/>
          <w:bCs/>
          <w:color w:val="1F2D5A"/>
          <w:sz w:val="22"/>
          <w:szCs w:val="22"/>
        </w:rPr>
        <w:t xml:space="preserve">Finding 4: </w:t>
      </w:r>
      <w:r>
        <w:rPr>
          <w:rFonts w:ascii="Calibri" w:cs="Calibri" w:eastAsia="Calibri" w:hAnsi="Calibri"/>
          <w:b/>
          <w:bCs/>
          <w:color w:val="1F2D5A"/>
          <w:sz w:val="22"/>
          <w:szCs w:val="22"/>
        </w:rPr>
        <w:t xml:space="preserve">No Formal Patch Management Process</w:t>
      </w:r>
      <w:r>
        <w:rPr>
          <w:rFonts w:ascii="Calibri" w:cs="Calibri" w:eastAsia="Calibri" w:hAnsi="Calibri"/>
          <w:b/>
          <w:bCs/>
          <w:color w:val="00B050"/>
          <w:sz w:val="20"/>
          <w:szCs w:val="20"/>
        </w:rPr>
        <w:t xml:space="preserve">   [Low]</w:t>
      </w:r>
    </w:p>
    <w:p>
      <w:pPr>
        <w:pBdr>
          <w:bottom w:val="single" w:color="2C5F8A" w:sz="8" w:space="2"/>
        </w:pBdr>
        <w:spacing w:after="60" w:before="100"/>
      </w:pPr>
    </w:p>
    <w:p>
      <w:pPr>
        <w:spacing w:after="30" w:before="30"/>
      </w:pPr>
      <w:r>
        <w:rPr>
          <w:rFonts w:ascii="Calibri" w:cs="Calibri" w:eastAsia="Calibri" w:hAnsi="Calibri"/>
          <w:b/>
          <w:bCs/>
          <w:color w:val="1F2D5A"/>
          <w:sz w:val="20"/>
          <w:szCs w:val="20"/>
        </w:rPr>
        <w:t xml:space="preserve">Control Reference: </w:t>
      </w:r>
      <w:r>
        <w:rPr>
          <w:rFonts w:ascii="Calibri" w:cs="Calibri" w:eastAsia="Calibri" w:hAnsi="Calibri"/>
          <w:color w:val="333333"/>
          <w:sz w:val="20"/>
          <w:szCs w:val="20"/>
        </w:rPr>
        <w:t xml:space="preserve">NIST CSF ID.RA-1 | CIS Control 7 | ISO 27001 A.12.6.1</w:t>
      </w:r>
    </w:p>
    <w:p>
      <w:pPr>
        <w:spacing w:after="30" w:before="80"/>
      </w:pPr>
      <w:r>
        <w:rPr>
          <w:rFonts w:ascii="Calibri" w:cs="Calibri" w:eastAsia="Calibri" w:hAnsi="Calibri"/>
          <w:b/>
          <w:bCs/>
          <w:color w:val="1F2D5A"/>
          <w:sz w:val="20"/>
          <w:szCs w:val="20"/>
        </w:rPr>
        <w:t xml:space="preserve">Condition (What We Found)</w:t>
      </w:r>
    </w:p>
    <w:p>
      <w:pPr>
        <w:spacing w:after="60" w:before="20"/>
      </w:pPr>
      <w:r>
        <w:rPr>
          <w:rFonts w:ascii="Calibri" w:cs="Calibri" w:eastAsia="Calibri" w:hAnsi="Calibri"/>
          <w:color w:val="222222"/>
          <w:sz w:val="20"/>
          <w:szCs w:val="20"/>
        </w:rPr>
        <w:t xml:space="preserve">The organization does not have a formal patch management policy or defined patch cadence. Patching is performed on an ad hoc basis when IT staff become aware of critical updates. A review of 10 sampled workstations found that 6 of 10 (60%) were running software with known vulnerabilities rated High or Critical by the National Vulnerability Database (NVD).</w:t>
      </w:r>
    </w:p>
    <w:p>
      <w:pPr>
        <w:spacing w:after="30" w:before="80"/>
      </w:pPr>
      <w:r>
        <w:rPr>
          <w:rFonts w:ascii="Calibri" w:cs="Calibri" w:eastAsia="Calibri" w:hAnsi="Calibri"/>
          <w:b/>
          <w:bCs/>
          <w:color w:val="1F2D5A"/>
          <w:sz w:val="20"/>
          <w:szCs w:val="20"/>
        </w:rPr>
        <w:t xml:space="preserve">Criteria (What Should Be)</w:t>
      </w:r>
    </w:p>
    <w:p>
      <w:pPr>
        <w:spacing w:after="60" w:before="20"/>
      </w:pPr>
      <w:r>
        <w:rPr>
          <w:rFonts w:ascii="Calibri" w:cs="Calibri" w:eastAsia="Calibri" w:hAnsi="Calibri"/>
          <w:color w:val="222222"/>
          <w:sz w:val="20"/>
          <w:szCs w:val="20"/>
        </w:rPr>
        <w:t xml:space="preserve">CIS Control 7 and ISO 27001 A.12.6.1 require organizations to establish a formal patch management process that prioritizes and applies patches based on risk. Best practice dictates Critical patches be applied within 30 days and High within 60 days of availability.</w:t>
      </w:r>
    </w:p>
    <w:p>
      <w:pPr>
        <w:spacing w:after="30" w:before="80"/>
      </w:pPr>
      <w:r>
        <w:rPr>
          <w:rFonts w:ascii="Calibri" w:cs="Calibri" w:eastAsia="Calibri" w:hAnsi="Calibri"/>
          <w:b/>
          <w:bCs/>
          <w:color w:val="1F2D5A"/>
          <w:sz w:val="20"/>
          <w:szCs w:val="20"/>
        </w:rPr>
        <w:t xml:space="preserve">Cause (Why It Happened)</w:t>
      </w:r>
    </w:p>
    <w:p>
      <w:pPr>
        <w:spacing w:after="60" w:before="20"/>
      </w:pPr>
      <w:r>
        <w:rPr>
          <w:rFonts w:ascii="Calibri" w:cs="Calibri" w:eastAsia="Calibri" w:hAnsi="Calibri"/>
          <w:color w:val="222222"/>
          <w:sz w:val="20"/>
          <w:szCs w:val="20"/>
        </w:rPr>
        <w:t xml:space="preserve">No patch management policy has been documented or approved. Patching is the informal responsibility of IT Operations but has not been prioritized or resourced adequately. No vulnerability scanning tool is in use to identify missing patches.</w:t>
      </w:r>
    </w:p>
    <w:p>
      <w:pPr>
        <w:spacing w:after="30" w:before="80"/>
      </w:pPr>
      <w:r>
        <w:rPr>
          <w:rFonts w:ascii="Calibri" w:cs="Calibri" w:eastAsia="Calibri" w:hAnsi="Calibri"/>
          <w:b/>
          <w:bCs/>
          <w:color w:val="1F2D5A"/>
          <w:sz w:val="20"/>
          <w:szCs w:val="20"/>
        </w:rPr>
        <w:t xml:space="preserve">Effect (Potential Impact)</w:t>
      </w:r>
    </w:p>
    <w:p>
      <w:pPr>
        <w:spacing w:after="60" w:before="20"/>
      </w:pPr>
      <w:r>
        <w:rPr>
          <w:rFonts w:ascii="Calibri" w:cs="Calibri" w:eastAsia="Calibri" w:hAnsi="Calibri"/>
          <w:color w:val="222222"/>
          <w:sz w:val="20"/>
          <w:szCs w:val="20"/>
        </w:rPr>
        <w:t xml:space="preserve">Unpatched systems represent a well-known and highly exploited attack vector. Threat actors routinely scan for and exploit publicly disclosed vulnerabilities. The 60% non-compliance rate identified on sampled workstations indicates significant exposure across the broader environment.</w:t>
      </w:r>
    </w:p>
    <w:p>
      <w:pPr>
        <w:spacing w:after="30" w:before="80"/>
      </w:pPr>
      <w:r>
        <w:rPr>
          <w:rFonts w:ascii="Calibri" w:cs="Calibri" w:eastAsia="Calibri" w:hAnsi="Calibri"/>
          <w:b/>
          <w:bCs/>
          <w:color w:val="1F2D5A"/>
          <w:sz w:val="20"/>
          <w:szCs w:val="20"/>
        </w:rPr>
        <w:t xml:space="preserve">Recommendation</w:t>
      </w:r>
    </w:p>
    <w:p>
      <w:pPr>
        <w:spacing w:after="60" w:before="20"/>
      </w:pPr>
      <w:r>
        <w:rPr>
          <w:rFonts w:ascii="Calibri" w:cs="Calibri" w:eastAsia="Calibri" w:hAnsi="Calibri"/>
          <w:color w:val="222222"/>
          <w:sz w:val="20"/>
          <w:szCs w:val="20"/>
        </w:rPr>
        <w:t xml:space="preserve">IT Operations should establish a formal patch management policy defining patch classification tiers, remediation timelines, and responsible parties. A vulnerability scanning tool (e.g., Nessus Essentials, Qualys, or Microsoft Defender Vulnerability Management) should be deployed to identify and prioritize missing patches. Patch compliance should be reported monthly to IT leadership.</w:t>
      </w:r>
    </w:p>
    <w:p>
      <w:pPr>
        <w:spacing w:after="80" w:before="220"/>
      </w:pPr>
      <w:r>
        <w:rPr>
          <w:rFonts w:ascii="Calibri" w:cs="Calibri" w:eastAsia="Calibri" w:hAnsi="Calibri"/>
          <w:b/>
          <w:bCs/>
          <w:color w:val="1F2D5A"/>
          <w:sz w:val="22"/>
          <w:szCs w:val="22"/>
        </w:rPr>
        <w:t xml:space="preserve">MANAGEMENT RESPONSE SUMMARY</w:t>
      </w:r>
    </w:p>
    <w:p>
      <w:pPr>
        <w:spacing w:after="60" w:before="60"/>
      </w:pPr>
      <w:r>
        <w:rPr>
          <w:rFonts w:ascii="Calibri" w:cs="Calibri" w:eastAsia="Calibri" w:hAnsi="Calibri"/>
          <w:color w:val="222222"/>
          <w:sz w:val="20"/>
          <w:szCs w:val="20"/>
        </w:rPr>
        <w:t xml:space="preserve">The following table summarizes management's planned responses to each finding:</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800"/>
        <w:gridCol w:w="2000"/>
        <w:gridCol w:w="1640"/>
      </w:tblGrid>
      <w:tr>
        <w:trPr>
          <w:tblHeader/>
        </w:trPr>
        <w:tc>
          <w:tcPr>
            <w:tcW w:type="dxa" w:w="900"/>
            <w:shd w:fill="1F2D5A" w:val="clear"/>
            <w:tcMar>
              <w:top w:type="dxa" w:w="80"/>
              <w:left w:type="dxa" w:w="80"/>
              <w:bottom w:type="dxa" w:w="80"/>
              <w:right w:type="dxa" w:w="80"/>
            </w:tcMar>
          </w:tcPr>
          <w:p>
            <w:pPr>
              <w:jc w:val="center"/>
            </w:pPr>
            <w:r>
              <w:rPr>
                <w:rFonts w:ascii="Calibri" w:cs="Calibri" w:eastAsia="Calibri" w:hAnsi="Calibri"/>
                <w:b/>
                <w:bCs/>
                <w:color w:val="FFFFFF"/>
                <w:sz w:val="18"/>
                <w:szCs w:val="18"/>
              </w:rPr>
              <w:t xml:space="preserve">Finding</w:t>
            </w:r>
          </w:p>
        </w:tc>
        <w:tc>
          <w:tcPr>
            <w:tcW w:type="dxa" w:w="3000"/>
            <w:shd w:fill="1F2D5A" w:val="clear"/>
            <w:tcMar>
              <w:top w:type="dxa" w:w="80"/>
              <w:left w:type="dxa" w:w="80"/>
              <w:bottom w:type="dxa" w:w="80"/>
              <w:right w:type="dxa" w:w="80"/>
            </w:tcMar>
          </w:tcPr>
          <w:p>
            <w:pPr>
              <w:jc w:val="center"/>
            </w:pPr>
            <w:r>
              <w:rPr>
                <w:rFonts w:ascii="Calibri" w:cs="Calibri" w:eastAsia="Calibri" w:hAnsi="Calibri"/>
                <w:b/>
                <w:bCs/>
                <w:color w:val="FFFFFF"/>
                <w:sz w:val="18"/>
                <w:szCs w:val="18"/>
              </w:rPr>
              <w:t xml:space="preserve">Title</w:t>
            </w:r>
          </w:p>
        </w:tc>
        <w:tc>
          <w:tcPr>
            <w:tcW w:type="dxa" w:w="2800"/>
            <w:shd w:fill="1F2D5A" w:val="clear"/>
            <w:tcMar>
              <w:top w:type="dxa" w:w="80"/>
              <w:left w:type="dxa" w:w="80"/>
              <w:bottom w:type="dxa" w:w="80"/>
              <w:right w:type="dxa" w:w="80"/>
            </w:tcMar>
          </w:tcPr>
          <w:p>
            <w:pPr>
              <w:jc w:val="center"/>
            </w:pPr>
            <w:r>
              <w:rPr>
                <w:rFonts w:ascii="Calibri" w:cs="Calibri" w:eastAsia="Calibri" w:hAnsi="Calibri"/>
                <w:b/>
                <w:bCs/>
                <w:color w:val="FFFFFF"/>
                <w:sz w:val="18"/>
                <w:szCs w:val="18"/>
              </w:rPr>
              <w:t xml:space="preserve">Management Response</w:t>
            </w:r>
          </w:p>
        </w:tc>
        <w:tc>
          <w:tcPr>
            <w:tcW w:type="dxa" w:w="2000"/>
            <w:shd w:fill="1F2D5A" w:val="clear"/>
            <w:tcMar>
              <w:top w:type="dxa" w:w="80"/>
              <w:left w:type="dxa" w:w="80"/>
              <w:bottom w:type="dxa" w:w="80"/>
              <w:right w:type="dxa" w:w="80"/>
            </w:tcMar>
          </w:tcPr>
          <w:p>
            <w:pPr>
              <w:jc w:val="center"/>
            </w:pPr>
            <w:r>
              <w:rPr>
                <w:rFonts w:ascii="Calibri" w:cs="Calibri" w:eastAsia="Calibri" w:hAnsi="Calibri"/>
                <w:b/>
                <w:bCs/>
                <w:color w:val="FFFFFF"/>
                <w:sz w:val="18"/>
                <w:szCs w:val="18"/>
              </w:rPr>
              <w:t xml:space="preserve">Owner</w:t>
            </w:r>
          </w:p>
        </w:tc>
        <w:tc>
          <w:tcPr>
            <w:tcW w:type="dxa" w:w="1640"/>
            <w:shd w:fill="1F2D5A" w:val="clear"/>
            <w:tcMar>
              <w:top w:type="dxa" w:w="80"/>
              <w:left w:type="dxa" w:w="80"/>
              <w:bottom w:type="dxa" w:w="80"/>
              <w:right w:type="dxa" w:w="80"/>
            </w:tcMar>
          </w:tcPr>
          <w:p>
            <w:pPr>
              <w:jc w:val="center"/>
            </w:pPr>
            <w:r>
              <w:rPr>
                <w:rFonts w:ascii="Calibri" w:cs="Calibri" w:eastAsia="Calibri" w:hAnsi="Calibri"/>
                <w:b/>
                <w:bCs/>
                <w:color w:val="FFFFFF"/>
                <w:sz w:val="18"/>
                <w:szCs w:val="18"/>
              </w:rPr>
              <w:t xml:space="preserve">Target Date</w:t>
            </w:r>
          </w:p>
        </w:tc>
      </w:tr>
      <w:tr>
        <w:tc>
          <w:tcPr>
            <w:tcW w:type="dxa" w:w="900"/>
            <w:shd w:fill="F2F4F8" w:val="clear"/>
            <w:tcMar>
              <w:top w:type="dxa" w:w="60"/>
              <w:left w:type="dxa" w:w="80"/>
              <w:bottom w:type="dxa" w:w="60"/>
              <w:right w:type="dxa" w:w="80"/>
            </w:tcMar>
          </w:tcPr>
          <w:p>
            <w:pPr>
              <w:jc w:val="center"/>
            </w:pPr>
            <w:r>
              <w:rPr>
                <w:rFonts w:ascii="Calibri" w:cs="Calibri" w:eastAsia="Calibri" w:hAnsi="Calibri"/>
                <w:b/>
                <w:bCs/>
                <w:color w:val="000000"/>
                <w:sz w:val="18"/>
                <w:szCs w:val="18"/>
              </w:rPr>
              <w:t xml:space="preserve">F-001</w:t>
            </w:r>
          </w:p>
        </w:tc>
        <w:tc>
          <w:tcPr>
            <w:tcW w:type="dxa" w:w="3000"/>
            <w:shd w:fill="F2F4F8" w:val="clear"/>
            <w:tcMar>
              <w:top w:type="dxa" w:w="60"/>
              <w:left w:type="dxa" w:w="80"/>
              <w:bottom w:type="dxa" w:w="60"/>
              <w:right w:type="dxa" w:w="80"/>
            </w:tcMar>
          </w:tcPr>
          <w:p>
            <w:pPr>
              <w:jc w:val="left"/>
            </w:pPr>
            <w:r>
              <w:rPr>
                <w:rFonts w:ascii="Calibri" w:cs="Calibri" w:eastAsia="Calibri" w:hAnsi="Calibri"/>
                <w:b w:val="false"/>
                <w:bCs w:val="false"/>
                <w:color w:val="000000"/>
                <w:sz w:val="18"/>
                <w:szCs w:val="18"/>
              </w:rPr>
              <w:t xml:space="preserve">No MFA on Critical Systems</w:t>
            </w:r>
          </w:p>
        </w:tc>
        <w:tc>
          <w:tcPr>
            <w:tcW w:type="dxa" w:w="2800"/>
            <w:shd w:fill="F2F4F8" w:val="clear"/>
            <w:tcMar>
              <w:top w:type="dxa" w:w="60"/>
              <w:left w:type="dxa" w:w="80"/>
              <w:bottom w:type="dxa" w:w="60"/>
              <w:right w:type="dxa" w:w="80"/>
            </w:tcMar>
          </w:tcPr>
          <w:p>
            <w:pPr>
              <w:jc w:val="left"/>
            </w:pPr>
            <w:r>
              <w:rPr>
                <w:rFonts w:ascii="Calibri" w:cs="Calibri" w:eastAsia="Calibri" w:hAnsi="Calibri"/>
                <w:b w:val="false"/>
                <w:bCs w:val="false"/>
                <w:color w:val="000000"/>
                <w:sz w:val="18"/>
                <w:szCs w:val="18"/>
              </w:rPr>
              <w:t xml:space="preserve">Agree. MFA rollout to begin immediately via Microsoft Entra ID.</w:t>
            </w:r>
          </w:p>
        </w:tc>
        <w:tc>
          <w:tcPr>
            <w:tcW w:type="dxa" w:w="2000"/>
            <w:shd w:fill="F2F4F8" w:val="clear"/>
            <w:tcMar>
              <w:top w:type="dxa" w:w="60"/>
              <w:left w:type="dxa" w:w="80"/>
              <w:bottom w:type="dxa" w:w="60"/>
              <w:right w:type="dxa" w:w="80"/>
            </w:tcMar>
          </w:tcPr>
          <w:p>
            <w:pPr>
              <w:jc w:val="center"/>
            </w:pPr>
            <w:r>
              <w:rPr>
                <w:rFonts w:ascii="Calibri" w:cs="Calibri" w:eastAsia="Calibri" w:hAnsi="Calibri"/>
                <w:b w:val="false"/>
                <w:bCs w:val="false"/>
                <w:color w:val="000000"/>
                <w:sz w:val="18"/>
                <w:szCs w:val="18"/>
              </w:rPr>
              <w:t xml:space="preserve">IT Security Team</w:t>
            </w:r>
          </w:p>
        </w:tc>
        <w:tc>
          <w:tcPr>
            <w:tcW w:type="dxa" w:w="1640"/>
            <w:shd w:fill="F2F4F8" w:val="clear"/>
            <w:tcMar>
              <w:top w:type="dxa" w:w="60"/>
              <w:left w:type="dxa" w:w="80"/>
              <w:bottom w:type="dxa" w:w="60"/>
              <w:right w:type="dxa" w:w="80"/>
            </w:tcMar>
          </w:tcPr>
          <w:p>
            <w:pPr>
              <w:jc w:val="center"/>
            </w:pPr>
            <w:r>
              <w:rPr>
                <w:rFonts w:ascii="Calibri" w:cs="Calibri" w:eastAsia="Calibri" w:hAnsi="Calibri"/>
                <w:b w:val="false"/>
                <w:bCs w:val="false"/>
                <w:color w:val="000000"/>
                <w:sz w:val="18"/>
                <w:szCs w:val="18"/>
              </w:rPr>
              <w:t xml:space="preserve">Aug 1, 2026</w:t>
            </w:r>
          </w:p>
        </w:tc>
      </w:tr>
      <w:tr>
        <w:tc>
          <w:tcPr>
            <w:tcW w:type="dxa" w:w="900"/>
            <w:tcMar>
              <w:top w:type="dxa" w:w="60"/>
              <w:left w:type="dxa" w:w="80"/>
              <w:bottom w:type="dxa" w:w="60"/>
              <w:right w:type="dxa" w:w="80"/>
            </w:tcMar>
          </w:tcPr>
          <w:p>
            <w:pPr>
              <w:jc w:val="center"/>
            </w:pPr>
            <w:r>
              <w:rPr>
                <w:rFonts w:ascii="Calibri" w:cs="Calibri" w:eastAsia="Calibri" w:hAnsi="Calibri"/>
                <w:b/>
                <w:bCs/>
                <w:color w:val="000000"/>
                <w:sz w:val="18"/>
                <w:szCs w:val="18"/>
              </w:rPr>
              <w:t xml:space="preserve">F-002</w:t>
            </w:r>
          </w:p>
        </w:tc>
        <w:tc>
          <w:tcPr>
            <w:tcW w:type="dxa" w:w="3000"/>
            <w:tcMar>
              <w:top w:type="dxa" w:w="60"/>
              <w:left w:type="dxa" w:w="80"/>
              <w:bottom w:type="dxa" w:w="60"/>
              <w:right w:type="dxa" w:w="80"/>
            </w:tcMar>
          </w:tcPr>
          <w:p>
            <w:pPr>
              <w:jc w:val="left"/>
            </w:pPr>
            <w:r>
              <w:rPr>
                <w:rFonts w:ascii="Calibri" w:cs="Calibri" w:eastAsia="Calibri" w:hAnsi="Calibri"/>
                <w:b w:val="false"/>
                <w:bCs w:val="false"/>
                <w:color w:val="000000"/>
                <w:sz w:val="18"/>
                <w:szCs w:val="18"/>
              </w:rPr>
              <w:t xml:space="preserve">No Incident Response Plan</w:t>
            </w:r>
          </w:p>
        </w:tc>
        <w:tc>
          <w:tcPr>
            <w:tcW w:type="dxa" w:w="2800"/>
            <w:tcMar>
              <w:top w:type="dxa" w:w="60"/>
              <w:left w:type="dxa" w:w="80"/>
              <w:bottom w:type="dxa" w:w="60"/>
              <w:right w:type="dxa" w:w="80"/>
            </w:tcMar>
          </w:tcPr>
          <w:p>
            <w:pPr>
              <w:jc w:val="left"/>
            </w:pPr>
            <w:r>
              <w:rPr>
                <w:rFonts w:ascii="Calibri" w:cs="Calibri" w:eastAsia="Calibri" w:hAnsi="Calibri"/>
                <w:b w:val="false"/>
                <w:bCs w:val="false"/>
                <w:color w:val="000000"/>
                <w:sz w:val="18"/>
                <w:szCs w:val="18"/>
              </w:rPr>
              <w:t xml:space="preserve">Agree. CISO to lead IRP development. Tabletop exercise planned for Q4.</w:t>
            </w:r>
          </w:p>
        </w:tc>
        <w:tc>
          <w:tcPr>
            <w:tcW w:type="dxa" w:w="2000"/>
            <w:tcMar>
              <w:top w:type="dxa" w:w="60"/>
              <w:left w:type="dxa" w:w="80"/>
              <w:bottom w:type="dxa" w:w="60"/>
              <w:right w:type="dxa" w:w="80"/>
            </w:tcMar>
          </w:tcPr>
          <w:p>
            <w:pPr>
              <w:jc w:val="center"/>
            </w:pPr>
            <w:r>
              <w:rPr>
                <w:rFonts w:ascii="Calibri" w:cs="Calibri" w:eastAsia="Calibri" w:hAnsi="Calibri"/>
                <w:b w:val="false"/>
                <w:bCs w:val="false"/>
                <w:color w:val="000000"/>
                <w:sz w:val="18"/>
                <w:szCs w:val="18"/>
              </w:rPr>
              <w:t xml:space="preserve">CISO</w:t>
            </w:r>
          </w:p>
        </w:tc>
        <w:tc>
          <w:tcPr>
            <w:tcW w:type="dxa" w:w="1640"/>
            <w:tcMar>
              <w:top w:type="dxa" w:w="60"/>
              <w:left w:type="dxa" w:w="80"/>
              <w:bottom w:type="dxa" w:w="60"/>
              <w:right w:type="dxa" w:w="80"/>
            </w:tcMar>
          </w:tcPr>
          <w:p>
            <w:pPr>
              <w:jc w:val="center"/>
            </w:pPr>
            <w:r>
              <w:rPr>
                <w:rFonts w:ascii="Calibri" w:cs="Calibri" w:eastAsia="Calibri" w:hAnsi="Calibri"/>
                <w:b w:val="false"/>
                <w:bCs w:val="false"/>
                <w:color w:val="000000"/>
                <w:sz w:val="18"/>
                <w:szCs w:val="18"/>
              </w:rPr>
              <w:t xml:space="preserve">Sep 15, 2026</w:t>
            </w:r>
          </w:p>
        </w:tc>
      </w:tr>
      <w:tr>
        <w:tc>
          <w:tcPr>
            <w:tcW w:type="dxa" w:w="900"/>
            <w:shd w:fill="F2F4F8" w:val="clear"/>
            <w:tcMar>
              <w:top w:type="dxa" w:w="60"/>
              <w:left w:type="dxa" w:w="80"/>
              <w:bottom w:type="dxa" w:w="60"/>
              <w:right w:type="dxa" w:w="80"/>
            </w:tcMar>
          </w:tcPr>
          <w:p>
            <w:pPr>
              <w:jc w:val="center"/>
            </w:pPr>
            <w:r>
              <w:rPr>
                <w:rFonts w:ascii="Calibri" w:cs="Calibri" w:eastAsia="Calibri" w:hAnsi="Calibri"/>
                <w:b/>
                <w:bCs/>
                <w:color w:val="000000"/>
                <w:sz w:val="18"/>
                <w:szCs w:val="18"/>
              </w:rPr>
              <w:t xml:space="preserve">F-003</w:t>
            </w:r>
          </w:p>
        </w:tc>
        <w:tc>
          <w:tcPr>
            <w:tcW w:type="dxa" w:w="3000"/>
            <w:shd w:fill="F2F4F8" w:val="clear"/>
            <w:tcMar>
              <w:top w:type="dxa" w:w="60"/>
              <w:left w:type="dxa" w:w="80"/>
              <w:bottom w:type="dxa" w:w="60"/>
              <w:right w:type="dxa" w:w="80"/>
            </w:tcMar>
          </w:tcPr>
          <w:p>
            <w:pPr>
              <w:jc w:val="left"/>
            </w:pPr>
            <w:r>
              <w:rPr>
                <w:rFonts w:ascii="Calibri" w:cs="Calibri" w:eastAsia="Calibri" w:hAnsi="Calibri"/>
                <w:b w:val="false"/>
                <w:bCs w:val="false"/>
                <w:color w:val="000000"/>
                <w:sz w:val="18"/>
                <w:szCs w:val="18"/>
              </w:rPr>
              <w:t xml:space="preserve">Backup Restoration Untested</w:t>
            </w:r>
          </w:p>
        </w:tc>
        <w:tc>
          <w:tcPr>
            <w:tcW w:type="dxa" w:w="2800"/>
            <w:shd w:fill="F2F4F8" w:val="clear"/>
            <w:tcMar>
              <w:top w:type="dxa" w:w="60"/>
              <w:left w:type="dxa" w:w="80"/>
              <w:bottom w:type="dxa" w:w="60"/>
              <w:right w:type="dxa" w:w="80"/>
            </w:tcMar>
          </w:tcPr>
          <w:p>
            <w:pPr>
              <w:jc w:val="left"/>
            </w:pPr>
            <w:r>
              <w:rPr>
                <w:rFonts w:ascii="Calibri" w:cs="Calibri" w:eastAsia="Calibri" w:hAnsi="Calibri"/>
                <w:b w:val="false"/>
                <w:bCs w:val="false"/>
                <w:color w:val="000000"/>
                <w:sz w:val="18"/>
                <w:szCs w:val="18"/>
              </w:rPr>
              <w:t xml:space="preserve">Agree. Quarterly restoration test schedule to be established and documented.</w:t>
            </w:r>
          </w:p>
        </w:tc>
        <w:tc>
          <w:tcPr>
            <w:tcW w:type="dxa" w:w="2000"/>
            <w:shd w:fill="F2F4F8" w:val="clear"/>
            <w:tcMar>
              <w:top w:type="dxa" w:w="60"/>
              <w:left w:type="dxa" w:w="80"/>
              <w:bottom w:type="dxa" w:w="60"/>
              <w:right w:type="dxa" w:w="80"/>
            </w:tcMar>
          </w:tcPr>
          <w:p>
            <w:pPr>
              <w:jc w:val="center"/>
            </w:pPr>
            <w:r>
              <w:rPr>
                <w:rFonts w:ascii="Calibri" w:cs="Calibri" w:eastAsia="Calibri" w:hAnsi="Calibri"/>
                <w:b w:val="false"/>
                <w:bCs w:val="false"/>
                <w:color w:val="000000"/>
                <w:sz w:val="18"/>
                <w:szCs w:val="18"/>
              </w:rPr>
              <w:t xml:space="preserve">IT Operations</w:t>
            </w:r>
          </w:p>
        </w:tc>
        <w:tc>
          <w:tcPr>
            <w:tcW w:type="dxa" w:w="1640"/>
            <w:shd w:fill="F2F4F8" w:val="clear"/>
            <w:tcMar>
              <w:top w:type="dxa" w:w="60"/>
              <w:left w:type="dxa" w:w="80"/>
              <w:bottom w:type="dxa" w:w="60"/>
              <w:right w:type="dxa" w:w="80"/>
            </w:tcMar>
          </w:tcPr>
          <w:p>
            <w:pPr>
              <w:jc w:val="center"/>
            </w:pPr>
            <w:r>
              <w:rPr>
                <w:rFonts w:ascii="Calibri" w:cs="Calibri" w:eastAsia="Calibri" w:hAnsi="Calibri"/>
                <w:b w:val="false"/>
                <w:bCs w:val="false"/>
                <w:color w:val="000000"/>
                <w:sz w:val="18"/>
                <w:szCs w:val="18"/>
              </w:rPr>
              <w:t xml:space="preserve">Aug 15, 2026</w:t>
            </w:r>
          </w:p>
        </w:tc>
      </w:tr>
      <w:tr>
        <w:tc>
          <w:tcPr>
            <w:tcW w:type="dxa" w:w="900"/>
            <w:tcMar>
              <w:top w:type="dxa" w:w="60"/>
              <w:left w:type="dxa" w:w="80"/>
              <w:bottom w:type="dxa" w:w="60"/>
              <w:right w:type="dxa" w:w="80"/>
            </w:tcMar>
          </w:tcPr>
          <w:p>
            <w:pPr>
              <w:jc w:val="center"/>
            </w:pPr>
            <w:r>
              <w:rPr>
                <w:rFonts w:ascii="Calibri" w:cs="Calibri" w:eastAsia="Calibri" w:hAnsi="Calibri"/>
                <w:b/>
                <w:bCs/>
                <w:color w:val="000000"/>
                <w:sz w:val="18"/>
                <w:szCs w:val="18"/>
              </w:rPr>
              <w:t xml:space="preserve">F-004</w:t>
            </w:r>
          </w:p>
        </w:tc>
        <w:tc>
          <w:tcPr>
            <w:tcW w:type="dxa" w:w="3000"/>
            <w:tcMar>
              <w:top w:type="dxa" w:w="60"/>
              <w:left w:type="dxa" w:w="80"/>
              <w:bottom w:type="dxa" w:w="60"/>
              <w:right w:type="dxa" w:w="80"/>
            </w:tcMar>
          </w:tcPr>
          <w:p>
            <w:pPr>
              <w:jc w:val="left"/>
            </w:pPr>
            <w:r>
              <w:rPr>
                <w:rFonts w:ascii="Calibri" w:cs="Calibri" w:eastAsia="Calibri" w:hAnsi="Calibri"/>
                <w:b w:val="false"/>
                <w:bCs w:val="false"/>
                <w:color w:val="000000"/>
                <w:sz w:val="18"/>
                <w:szCs w:val="18"/>
              </w:rPr>
              <w:t xml:space="preserve">No Patch Management Process</w:t>
            </w:r>
          </w:p>
        </w:tc>
        <w:tc>
          <w:tcPr>
            <w:tcW w:type="dxa" w:w="2800"/>
            <w:tcMar>
              <w:top w:type="dxa" w:w="60"/>
              <w:left w:type="dxa" w:w="80"/>
              <w:bottom w:type="dxa" w:w="60"/>
              <w:right w:type="dxa" w:w="80"/>
            </w:tcMar>
          </w:tcPr>
          <w:p>
            <w:pPr>
              <w:jc w:val="left"/>
            </w:pPr>
            <w:r>
              <w:rPr>
                <w:rFonts w:ascii="Calibri" w:cs="Calibri" w:eastAsia="Calibri" w:hAnsi="Calibri"/>
                <w:b w:val="false"/>
                <w:bCs w:val="false"/>
                <w:color w:val="000000"/>
                <w:sz w:val="18"/>
                <w:szCs w:val="18"/>
              </w:rPr>
              <w:t xml:space="preserve">Agree. Patch management policy to be drafted; scanner deployment scoped.</w:t>
            </w:r>
          </w:p>
        </w:tc>
        <w:tc>
          <w:tcPr>
            <w:tcW w:type="dxa" w:w="2000"/>
            <w:tcMar>
              <w:top w:type="dxa" w:w="60"/>
              <w:left w:type="dxa" w:w="80"/>
              <w:bottom w:type="dxa" w:w="60"/>
              <w:right w:type="dxa" w:w="80"/>
            </w:tcMar>
          </w:tcPr>
          <w:p>
            <w:pPr>
              <w:jc w:val="center"/>
            </w:pPr>
            <w:r>
              <w:rPr>
                <w:rFonts w:ascii="Calibri" w:cs="Calibri" w:eastAsia="Calibri" w:hAnsi="Calibri"/>
                <w:b w:val="false"/>
                <w:bCs w:val="false"/>
                <w:color w:val="000000"/>
                <w:sz w:val="18"/>
                <w:szCs w:val="18"/>
              </w:rPr>
              <w:t xml:space="preserve">IT Operations</w:t>
            </w:r>
          </w:p>
        </w:tc>
        <w:tc>
          <w:tcPr>
            <w:tcW w:type="dxa" w:w="1640"/>
            <w:tcMar>
              <w:top w:type="dxa" w:w="60"/>
              <w:left w:type="dxa" w:w="80"/>
              <w:bottom w:type="dxa" w:w="60"/>
              <w:right w:type="dxa" w:w="80"/>
            </w:tcMar>
          </w:tcPr>
          <w:p>
            <w:pPr>
              <w:jc w:val="center"/>
            </w:pPr>
            <w:r>
              <w:rPr>
                <w:rFonts w:ascii="Calibri" w:cs="Calibri" w:eastAsia="Calibri" w:hAnsi="Calibri"/>
                <w:b w:val="false"/>
                <w:bCs w:val="false"/>
                <w:color w:val="000000"/>
                <w:sz w:val="18"/>
                <w:szCs w:val="18"/>
              </w:rPr>
              <w:t xml:space="preserve">Sep 1, 2026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2026-07-02T04:37:55.670Z</dcterms:created>
  <dcterms:modified xsi:type="dcterms:W3CDTF">2026-07-02T04:37:55.670Z</dcterms:modified>
</cp:coreProperties>
</file>

<file path=docProps/custom.xml><?xml version="1.0" encoding="utf-8"?>
<Properties xmlns="http://schemas.openxmlformats.org/officeDocument/2006/custom-properties" xmlns:vt="http://schemas.openxmlformats.org/officeDocument/2006/docPropsVTypes"/>
</file>