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11A93" w14:textId="0BDB6D52" w:rsidR="00BF19D7" w:rsidRPr="005744EE" w:rsidRDefault="00BF19D7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Toc436578911"/>
      <w:bookmarkStart w:id="1" w:name="_Toc436578912"/>
      <w:r w:rsidRPr="005744EE">
        <w:rPr>
          <w:rFonts w:ascii="Times New Roman" w:hAnsi="Times New Roman" w:cs="Times New Roman"/>
          <w:sz w:val="24"/>
          <w:szCs w:val="24"/>
          <w:lang w:val="lt-LT"/>
        </w:rPr>
        <w:t>Šią savaitę aprašėme teoriją, dar nebaigta.</w:t>
      </w:r>
    </w:p>
    <w:p w14:paraId="1FB56381" w14:textId="77777777" w:rsidR="00BF19D7" w:rsidRPr="005744EE" w:rsidRDefault="00BF19D7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33EE01B9" w14:textId="77777777" w:rsidR="00216BEE" w:rsidRPr="005744EE" w:rsidRDefault="00216BEE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b/>
          <w:sz w:val="24"/>
          <w:szCs w:val="24"/>
          <w:lang w:val="lt-LT"/>
        </w:rPr>
        <w:t>Santrauka</w:t>
      </w:r>
      <w:bookmarkEnd w:id="0"/>
    </w:p>
    <w:p w14:paraId="4CC4F3A4" w14:textId="5E0ECBCD" w:rsidR="00BD469C" w:rsidRPr="005744EE" w:rsidRDefault="0014795B" w:rsidP="00BF19D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M</w:t>
      </w:r>
      <w:r w:rsidR="00216BEE" w:rsidRPr="005744EE">
        <w:rPr>
          <w:rFonts w:ascii="Times New Roman" w:hAnsi="Times New Roman" w:cs="Times New Roman"/>
          <w:sz w:val="24"/>
          <w:szCs w:val="24"/>
          <w:lang w:val="lt-LT"/>
        </w:rPr>
        <w:t>akroekonom</w:t>
      </w:r>
      <w:r w:rsidR="00A91AC5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iai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rodikliai</w:t>
      </w:r>
      <w:r w:rsidR="00216BEE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gali padėti nuspėti ateities verslo ciklą, kuris</w:t>
      </w:r>
      <w:r w:rsidR="00BB189E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turi įtakos</w:t>
      </w:r>
      <w:r w:rsidR="00216BEE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BD469C" w:rsidRPr="005744EE">
        <w:rPr>
          <w:rFonts w:ascii="Times New Roman" w:hAnsi="Times New Roman" w:cs="Times New Roman"/>
          <w:sz w:val="24"/>
          <w:szCs w:val="24"/>
          <w:lang w:val="lt-LT"/>
        </w:rPr>
        <w:t>akcijų pelningum</w:t>
      </w:r>
      <w:r w:rsidR="00BB189E" w:rsidRPr="005744EE">
        <w:rPr>
          <w:rFonts w:ascii="Times New Roman" w:hAnsi="Times New Roman" w:cs="Times New Roman"/>
          <w:sz w:val="24"/>
          <w:szCs w:val="24"/>
          <w:lang w:val="lt-LT"/>
        </w:rPr>
        <w:t>ui</w:t>
      </w:r>
      <w:r w:rsidR="00216BEE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. Sudarytas „OMX Vilnius“ idekso grąžos prognozavimo modelis naudojant „Arbitražo įkainojimo teorema” (angl. APT), siekiant išsiaiškinti,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kokie Liet</w:t>
      </w:r>
      <w:r w:rsidR="00A91AC5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uvos makroekonominiai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rodikliai tiesiškai paveikia </w:t>
      </w:r>
      <w:r w:rsidR="00216BEE" w:rsidRPr="005744EE">
        <w:rPr>
          <w:rFonts w:ascii="Times New Roman" w:hAnsi="Times New Roman" w:cs="Times New Roman"/>
          <w:sz w:val="24"/>
          <w:szCs w:val="24"/>
          <w:lang w:val="lt-LT"/>
        </w:rPr>
        <w:t>„OMX Vilnius“ indekso grąž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a</w:t>
      </w:r>
      <w:r w:rsidR="00216BEE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s. </w:t>
      </w:r>
      <w:r w:rsidR="00A91AC5" w:rsidRPr="005744EE">
        <w:rPr>
          <w:rFonts w:ascii="Times New Roman" w:hAnsi="Times New Roman" w:cs="Times New Roman"/>
          <w:sz w:val="24"/>
          <w:szCs w:val="24"/>
          <w:lang w:val="lt-LT"/>
        </w:rPr>
        <w:t>Tirti mėnesiniai</w:t>
      </w:r>
      <w:r w:rsidR="00216BEE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A91AC5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duomenys </w:t>
      </w:r>
      <w:r w:rsidR="00216BEE" w:rsidRPr="005744EE">
        <w:rPr>
          <w:rFonts w:ascii="Times New Roman" w:hAnsi="Times New Roman" w:cs="Times New Roman"/>
          <w:sz w:val="24"/>
          <w:szCs w:val="24"/>
          <w:lang w:val="lt-LT"/>
        </w:rPr>
        <w:t>nuo 2002 iki 2016 metų.</w:t>
      </w:r>
      <w:r w:rsidR="003D7ECE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BD469C" w:rsidRPr="005744EE">
        <w:rPr>
          <w:rFonts w:ascii="Times New Roman" w:hAnsi="Times New Roman" w:cs="Times New Roman"/>
          <w:sz w:val="24"/>
          <w:szCs w:val="24"/>
          <w:lang w:val="lt-LT"/>
        </w:rPr>
        <w:t>Dalis makroekonominių rodiklių</w:t>
      </w:r>
      <w:r w:rsidR="00F327D1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yra reikšmingi vertinant</w:t>
      </w:r>
      <w:r w:rsidR="00BD469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indekso </w:t>
      </w:r>
      <w:r w:rsidR="00BB189E" w:rsidRPr="005744EE">
        <w:rPr>
          <w:rFonts w:ascii="Times New Roman" w:hAnsi="Times New Roman" w:cs="Times New Roman"/>
          <w:sz w:val="24"/>
          <w:szCs w:val="24"/>
          <w:lang w:val="lt-LT"/>
        </w:rPr>
        <w:t>kainos pokyčius</w:t>
      </w:r>
      <w:r w:rsidR="00BD469C" w:rsidRPr="005744EE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AC3C7D3" w14:textId="77777777" w:rsidR="00216BEE" w:rsidRPr="005744EE" w:rsidRDefault="00216BEE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03D5BD0D" w14:textId="7980134D" w:rsidR="00216BEE" w:rsidRPr="005744EE" w:rsidRDefault="00216BEE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b/>
          <w:sz w:val="24"/>
          <w:szCs w:val="24"/>
          <w:lang w:val="lt-LT"/>
        </w:rPr>
        <w:t>Darbe naudojami trumpiniai</w:t>
      </w:r>
      <w:r w:rsidR="0021645D" w:rsidRPr="005744EE">
        <w:rPr>
          <w:rFonts w:ascii="Times New Roman" w:hAnsi="Times New Roman" w:cs="Times New Roman"/>
          <w:b/>
          <w:sz w:val="24"/>
          <w:szCs w:val="24"/>
          <w:lang w:val="lt-LT"/>
        </w:rPr>
        <w:t>:</w:t>
      </w:r>
    </w:p>
    <w:p w14:paraId="675DFDEE" w14:textId="05030C26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kk – kasyba ir karjerų eksploatacija</w:t>
      </w:r>
    </w:p>
    <w:p w14:paraId="1BE388CD" w14:textId="77777777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mp – mažmeninė prekyba</w:t>
      </w:r>
    </w:p>
    <w:p w14:paraId="0303E530" w14:textId="77777777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vp – verslo plėtros aktyvumas per 3 mėnesius</w:t>
      </w:r>
    </w:p>
    <w:p w14:paraId="477C0534" w14:textId="77777777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ta – turimos akcijos</w:t>
      </w:r>
    </w:p>
    <w:p w14:paraId="7BE08085" w14:textId="77777777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ul – užsakymų lūkesčiai</w:t>
      </w:r>
    </w:p>
    <w:p w14:paraId="6EAF5CFC" w14:textId="77777777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dll – darbo lygio lūkesčiai</w:t>
      </w:r>
    </w:p>
    <w:p w14:paraId="588F1453" w14:textId="77777777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mhope – mažmeninės prekybos pasitikėjimas</w:t>
      </w:r>
    </w:p>
    <w:p w14:paraId="040B99D6" w14:textId="77777777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shope – statybų pasitikėjimas</w:t>
      </w:r>
    </w:p>
    <w:p w14:paraId="4C194683" w14:textId="77777777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phope – paslaugų pasitikėjimas</w:t>
      </w:r>
    </w:p>
    <w:p w14:paraId="00B2EA08" w14:textId="77777777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vhope – vartotojų pasitikėjimas</w:t>
      </w:r>
    </w:p>
    <w:p w14:paraId="6AC8F199" w14:textId="77777777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pramhope – pramonės pasitikėjimas </w:t>
      </w:r>
    </w:p>
    <w:p w14:paraId="39E9595E" w14:textId="77777777" w:rsidR="00923085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gkl – gamintojų kainų lygis</w:t>
      </w:r>
    </w:p>
    <w:p w14:paraId="39C25591" w14:textId="60F5C4A7" w:rsidR="00216BEE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ip – industrinė produkcija</w:t>
      </w:r>
    </w:p>
    <w:p w14:paraId="4A8F57D6" w14:textId="77777777" w:rsidR="0021645D" w:rsidRPr="005744EE" w:rsidRDefault="0021645D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6F597E34" w14:textId="7AB47F2E" w:rsidR="00216BEE" w:rsidRPr="005744EE" w:rsidRDefault="00216BEE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b/>
          <w:sz w:val="24"/>
          <w:szCs w:val="24"/>
          <w:lang w:val="lt-LT"/>
        </w:rPr>
        <w:t>Įvadas</w:t>
      </w:r>
      <w:bookmarkEnd w:id="1"/>
    </w:p>
    <w:p w14:paraId="44BB4781" w14:textId="3F8F7140" w:rsidR="00923085" w:rsidRPr="005744EE" w:rsidRDefault="00472B46" w:rsidP="00BF19D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Akcijų </w:t>
      </w:r>
      <w:r w:rsidR="00DF7B9B" w:rsidRPr="005744EE">
        <w:rPr>
          <w:rFonts w:ascii="Times New Roman" w:hAnsi="Times New Roman" w:cs="Times New Roman"/>
          <w:sz w:val="24"/>
          <w:szCs w:val="24"/>
          <w:lang w:val="lt-LT"/>
        </w:rPr>
        <w:t>pokyčiams yra reikšminga ekonomikos būsena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. Jei ekonomika aug</w:t>
      </w:r>
      <w:r w:rsidR="003E2003" w:rsidRPr="005744EE">
        <w:rPr>
          <w:rFonts w:ascii="Times New Roman" w:hAnsi="Times New Roman" w:cs="Times New Roman"/>
          <w:sz w:val="24"/>
          <w:szCs w:val="24"/>
          <w:lang w:val="lt-LT"/>
        </w:rPr>
        <w:t>a</w:t>
      </w:r>
      <w:r w:rsidR="00DF7B9B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r w:rsidR="00BC5651" w:rsidRPr="005744EE">
        <w:rPr>
          <w:rFonts w:ascii="Times New Roman" w:hAnsi="Times New Roman" w:cs="Times New Roman"/>
          <w:sz w:val="24"/>
          <w:szCs w:val="24"/>
          <w:lang w:val="lt-LT"/>
        </w:rPr>
        <w:t>tuomet dauguma įmonių padidin</w:t>
      </w:r>
      <w:r w:rsidR="003E2003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a </w:t>
      </w:r>
      <w:r w:rsidR="00BC5651" w:rsidRPr="005744EE">
        <w:rPr>
          <w:rFonts w:ascii="Times New Roman" w:hAnsi="Times New Roman" w:cs="Times New Roman"/>
          <w:sz w:val="24"/>
          <w:szCs w:val="24"/>
          <w:lang w:val="lt-LT"/>
        </w:rPr>
        <w:t>savo pelną</w:t>
      </w:r>
      <w:r w:rsidR="00BB189E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ir gamybą</w:t>
      </w:r>
      <w:r w:rsidR="00BC5651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D96F96" w:rsidRPr="005744EE">
        <w:rPr>
          <w:rFonts w:ascii="Times New Roman" w:hAnsi="Times New Roman" w:cs="Times New Roman"/>
          <w:sz w:val="24"/>
          <w:szCs w:val="24"/>
          <w:lang w:val="lt-LT"/>
        </w:rPr>
        <w:t>Priešingas</w:t>
      </w:r>
      <w:r w:rsidR="003E2003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procesas, kai ekonomika traukiasi. </w:t>
      </w:r>
      <w:r w:rsidR="00216BEE" w:rsidRPr="005744EE">
        <w:rPr>
          <w:rFonts w:ascii="Times New Roman" w:hAnsi="Times New Roman" w:cs="Times New Roman"/>
          <w:sz w:val="24"/>
          <w:szCs w:val="24"/>
          <w:lang w:val="lt-LT"/>
        </w:rPr>
        <w:t>Egzistuoja makroekonomi</w:t>
      </w:r>
      <w:r w:rsidR="002A04E2" w:rsidRPr="005744EE">
        <w:rPr>
          <w:rFonts w:ascii="Times New Roman" w:hAnsi="Times New Roman" w:cs="Times New Roman"/>
          <w:sz w:val="24"/>
          <w:szCs w:val="24"/>
          <w:lang w:val="lt-LT"/>
        </w:rPr>
        <w:t>ni</w:t>
      </w:r>
      <w:r w:rsidR="00617CB5" w:rsidRPr="005744EE">
        <w:rPr>
          <w:rFonts w:ascii="Times New Roman" w:hAnsi="Times New Roman" w:cs="Times New Roman"/>
          <w:sz w:val="24"/>
          <w:szCs w:val="24"/>
          <w:lang w:val="lt-LT"/>
        </w:rPr>
        <w:t>ai rodikliai</w:t>
      </w:r>
      <w:r w:rsidR="00D96F96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tokie kaip</w:t>
      </w:r>
      <w:r w:rsidR="007D5DDA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1C1056" w:rsidRPr="005744EE">
        <w:rPr>
          <w:rFonts w:ascii="Times New Roman" w:hAnsi="Times New Roman" w:cs="Times New Roman"/>
          <w:sz w:val="24"/>
          <w:szCs w:val="24"/>
          <w:lang w:val="lt-LT"/>
        </w:rPr>
        <w:t>infliacija, valiutos kursas, palūkanų dydis,</w:t>
      </w:r>
      <w:r w:rsidR="001D3566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kurie</w:t>
      </w:r>
      <w:r w:rsidR="001C1056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1D3566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gali paaiškinti akcijų grąžas. Tačiau yra </w:t>
      </w:r>
      <w:r w:rsidR="00367D6A" w:rsidRPr="005744EE">
        <w:rPr>
          <w:rFonts w:ascii="Times New Roman" w:hAnsi="Times New Roman" w:cs="Times New Roman"/>
          <w:sz w:val="24"/>
          <w:szCs w:val="24"/>
          <w:lang w:val="lt-LT"/>
        </w:rPr>
        <w:t>atlikt</w:t>
      </w:r>
      <w:r w:rsidR="001D3566" w:rsidRPr="005744EE">
        <w:rPr>
          <w:rFonts w:ascii="Times New Roman" w:hAnsi="Times New Roman" w:cs="Times New Roman"/>
          <w:sz w:val="24"/>
          <w:szCs w:val="24"/>
          <w:lang w:val="lt-LT"/>
        </w:rPr>
        <w:t>as tyrimas</w:t>
      </w:r>
      <w:r w:rsidR="001C1056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Rusijos rinkoje, remiantis</w:t>
      </w:r>
      <w:r w:rsidR="007D5DDA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9A1B85" w:rsidRPr="005744EE">
        <w:rPr>
          <w:rFonts w:ascii="Times New Roman" w:hAnsi="Times New Roman" w:cs="Times New Roman"/>
          <w:sz w:val="24"/>
          <w:szCs w:val="24"/>
          <w:lang w:val="lt-LT"/>
        </w:rPr>
        <w:t>arbitražo įkainojimo teorija, kurio tyrimo autorius</w:t>
      </w:r>
      <w:r w:rsidR="0014795B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nesugebėjo rasti </w:t>
      </w:r>
      <w:r w:rsidR="00367D6A" w:rsidRPr="005744EE">
        <w:rPr>
          <w:rFonts w:ascii="Times New Roman" w:hAnsi="Times New Roman" w:cs="Times New Roman"/>
          <w:sz w:val="24"/>
          <w:szCs w:val="24"/>
          <w:lang w:val="lt-LT"/>
        </w:rPr>
        <w:t>reikšmingos</w:t>
      </w:r>
      <w:r w:rsidR="0014795B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makroekonominių duomenų</w:t>
      </w:r>
      <w:r w:rsidR="00367D6A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1C1056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įtakos</w:t>
      </w:r>
      <w:r w:rsidR="00367D6A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akcijų grąžoms.</w:t>
      </w:r>
      <w:r w:rsidR="001D3566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O Šri Lankos ir </w:t>
      </w:r>
      <w:r w:rsidR="00DE6D0A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Indijos rinkoms atlikti empiriniai tyrimai </w:t>
      </w:r>
      <w:r w:rsidR="00D71225" w:rsidRPr="005744EE">
        <w:rPr>
          <w:rFonts w:ascii="Times New Roman" w:hAnsi="Times New Roman" w:cs="Times New Roman"/>
          <w:sz w:val="24"/>
          <w:szCs w:val="24"/>
          <w:lang w:val="lt-LT"/>
        </w:rPr>
        <w:t>parodė</w:t>
      </w:r>
      <w:r w:rsidR="001D3566" w:rsidRPr="005744EE">
        <w:rPr>
          <w:rFonts w:ascii="Times New Roman" w:hAnsi="Times New Roman" w:cs="Times New Roman"/>
          <w:sz w:val="24"/>
          <w:szCs w:val="24"/>
          <w:lang w:val="lt-LT"/>
        </w:rPr>
        <w:t>, jog makroekonominiai rodikliai turi įtakos akcijų grąžai.</w:t>
      </w:r>
      <w:r w:rsidR="007D5DDA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1C1056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Todėl </w:t>
      </w:r>
      <w:r w:rsidR="00D93E80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nutarta </w:t>
      </w:r>
      <w:r w:rsidR="001C1056" w:rsidRPr="005744EE">
        <w:rPr>
          <w:rFonts w:ascii="Times New Roman" w:hAnsi="Times New Roman" w:cs="Times New Roman"/>
          <w:sz w:val="24"/>
          <w:szCs w:val="24"/>
          <w:lang w:val="lt-LT"/>
        </w:rPr>
        <w:t>ištirti Lietuvos akcijų rinkos grąžos priklausom</w:t>
      </w:r>
      <w:r w:rsidR="00A91AC5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ybę nuo makro </w:t>
      </w:r>
      <w:r w:rsidR="007D5DDA" w:rsidRPr="005744EE">
        <w:rPr>
          <w:rFonts w:ascii="Times New Roman" w:hAnsi="Times New Roman" w:cs="Times New Roman"/>
          <w:sz w:val="24"/>
          <w:szCs w:val="24"/>
          <w:lang w:val="lt-LT"/>
        </w:rPr>
        <w:t>rodiklių</w:t>
      </w:r>
      <w:r w:rsidR="0082415B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923085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remiantis </w:t>
      </w:r>
      <w:r w:rsidR="00D93E80" w:rsidRPr="005744EE">
        <w:rPr>
          <w:rFonts w:ascii="Times New Roman" w:hAnsi="Times New Roman" w:cs="Times New Roman"/>
          <w:sz w:val="24"/>
          <w:szCs w:val="24"/>
          <w:lang w:val="lt-LT"/>
        </w:rPr>
        <w:t>Arbitražo įkainoj</w:t>
      </w:r>
      <w:r w:rsidR="00923085" w:rsidRPr="005744EE">
        <w:rPr>
          <w:rFonts w:ascii="Times New Roman" w:hAnsi="Times New Roman" w:cs="Times New Roman"/>
          <w:sz w:val="24"/>
          <w:szCs w:val="24"/>
          <w:lang w:val="lt-LT"/>
        </w:rPr>
        <w:t>imo teorija (angl. APT)</w:t>
      </w:r>
      <w:r w:rsidR="0082415B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 ir iš daugelių rodiklių atri</w:t>
      </w:r>
      <w:r w:rsidR="009A1B85" w:rsidRPr="005744EE">
        <w:rPr>
          <w:rFonts w:ascii="Times New Roman" w:hAnsi="Times New Roman" w:cs="Times New Roman"/>
          <w:sz w:val="24"/>
          <w:szCs w:val="24"/>
          <w:lang w:val="lt-LT"/>
        </w:rPr>
        <w:t>kti svarbiausius</w:t>
      </w:r>
      <w:r w:rsidR="0014795B" w:rsidRPr="005744EE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923085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5DE9324B" w14:textId="563B5A1C" w:rsidR="00D120E3" w:rsidRPr="005744EE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Kylančiose rinkose</w:t>
      </w:r>
      <w:r w:rsidR="00066340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daug dažniau pasitaiko neteisingai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066340" w:rsidRPr="005744EE">
        <w:rPr>
          <w:rFonts w:ascii="Times New Roman" w:hAnsi="Times New Roman" w:cs="Times New Roman"/>
          <w:sz w:val="24"/>
          <w:szCs w:val="24"/>
          <w:lang w:val="lt-LT"/>
        </w:rPr>
        <w:t>įkainotų finansinių instrumen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tų nei išvystytose (efektyviose) </w:t>
      </w:r>
      <w:r w:rsidR="00066340" w:rsidRPr="005744EE">
        <w:rPr>
          <w:rFonts w:ascii="Times New Roman" w:hAnsi="Times New Roman" w:cs="Times New Roman"/>
          <w:sz w:val="24"/>
          <w:szCs w:val="24"/>
          <w:lang w:val="lt-LT"/>
        </w:rPr>
        <w:t>rinkose.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Lietuvos rinką galime priskirti besivystančiosios rinkos kategorijai ir galbūt tyrimo išvadas, naudojant APT, galima bus praktiškai pritaikyti</w:t>
      </w:r>
      <w:r w:rsidR="0082415B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pelningai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investuojant. </w:t>
      </w:r>
    </w:p>
    <w:p w14:paraId="264BB1AA" w14:textId="77777777" w:rsidR="00923085" w:rsidRDefault="00923085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57C541ED" w14:textId="457F153D" w:rsidR="008579AC" w:rsidRPr="008579AC" w:rsidRDefault="008579AC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8579AC">
        <w:rPr>
          <w:rFonts w:ascii="Times New Roman" w:hAnsi="Times New Roman" w:cs="Times New Roman"/>
          <w:b/>
          <w:sz w:val="24"/>
          <w:szCs w:val="24"/>
          <w:lang w:val="lt-LT"/>
        </w:rPr>
        <w:t xml:space="preserve">Teorija </w:t>
      </w:r>
    </w:p>
    <w:p w14:paraId="086B53ED" w14:textId="37884181" w:rsidR="00DE6D0A" w:rsidRPr="005744EE" w:rsidRDefault="008579AC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lang w:val="lt-LT"/>
        </w:rPr>
        <w:t>Rizika ir diversifikavimas</w:t>
      </w:r>
    </w:p>
    <w:p w14:paraId="05BA1048" w14:textId="375E8D78" w:rsidR="009F3403" w:rsidRPr="005744EE" w:rsidRDefault="006D480A" w:rsidP="006D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>
        <w:rPr>
          <w:rFonts w:ascii="Times New Roman" w:hAnsi="Times New Roman" w:cs="Times New Roman"/>
          <w:sz w:val="23"/>
          <w:szCs w:val="23"/>
          <w:lang w:val="lt-LT"/>
        </w:rPr>
        <w:t>Investuojant į akcijas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, kuo didesnis standartinis nuokrypis, tuo didesn</w:t>
      </w:r>
      <w:r w:rsidR="005744EE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galimyb</w:t>
      </w:r>
      <w:r w:rsidR="005744EE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prarasti</w:t>
      </w:r>
      <w:r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investuotus pinigus</w:t>
      </w:r>
      <w:r w:rsidR="005744EE">
        <w:rPr>
          <w:rFonts w:ascii="Times New Roman" w:hAnsi="Times New Roman" w:cs="Times New Roman"/>
          <w:sz w:val="23"/>
          <w:szCs w:val="23"/>
          <w:lang w:val="lt-LT"/>
        </w:rPr>
        <w:t>. Šiuo atveju rizika laikysime standartinį nuokrypį.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 Taigi</w:t>
      </w:r>
      <w:r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rizika ir pajamos iš investicij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yra tiesiogiai tarpusavyje susijusios: kuo didesn</w:t>
      </w:r>
      <w:r w:rsidR="005744EE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rizika, tuo tur</w:t>
      </w:r>
      <w:r w:rsidR="005744EE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t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b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ti</w:t>
      </w:r>
      <w:r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="005744EE">
        <w:rPr>
          <w:rFonts w:ascii="Times New Roman" w:hAnsi="Times New Roman" w:cs="Times New Roman"/>
          <w:sz w:val="23"/>
          <w:szCs w:val="23"/>
          <w:lang w:val="lt-LT"/>
        </w:rPr>
        <w:t xml:space="preserve">didesnės laukiamas pelnas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iš investicij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, kad jos kompensuot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aukšt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rizikos lyg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.</w:t>
      </w:r>
      <w:r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="005744EE">
        <w:rPr>
          <w:rFonts w:ascii="Times New Roman" w:hAnsi="Times New Roman" w:cs="Times New Roman"/>
          <w:sz w:val="23"/>
          <w:szCs w:val="23"/>
          <w:lang w:val="lt-LT"/>
        </w:rPr>
        <w:t xml:space="preserve">Svarbus tampa reikalaujamas pelningumas – tai mažiausias laukiamas pelnas, kurio yra reikalaujama už investavimą </w:t>
      </w:r>
      <w:r w:rsidR="005744EE">
        <w:rPr>
          <w:rFonts w:ascii="Times New Roman" w:hAnsi="Times New Roman" w:cs="Times New Roman"/>
          <w:sz w:val="23"/>
          <w:szCs w:val="23"/>
          <w:lang w:val="lt-LT"/>
        </w:rPr>
        <w:lastRenderedPageBreak/>
        <w:t>į rizikingą aktyvą.</w:t>
      </w:r>
      <w:r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Investuotojas gali rinktis neriziking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peln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, pirkdamas nerizikingus vertybinius</w:t>
      </w:r>
      <w:r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popierius. Ši nerizikinga pelno norma yra minimumas, kurio gali tik</w:t>
      </w:r>
      <w:r w:rsidR="005744EE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tis investuotojas</w:t>
      </w:r>
      <w:r w:rsidR="005744EE">
        <w:rPr>
          <w:rFonts w:ascii="Times New Roman" w:hAnsi="Times New Roman" w:cs="Times New Roman"/>
          <w:sz w:val="23"/>
          <w:szCs w:val="23"/>
          <w:lang w:val="lt-LT"/>
        </w:rPr>
        <w:t xml:space="preserve"> neprisiimdamas jokios rizikos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. Pirkdamas rizikingesn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vertybin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popieri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, investuotojas reikalaus rizikos premijos (atpildo už</w:t>
      </w:r>
      <w:r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riziking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vertybini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popieri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laikym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. Taigi nerizikinga pelno norma bei rizikos premija sudaro</w:t>
      </w:r>
      <w:r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reikalaujam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pelningum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.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Ši priklausomyb</w:t>
      </w:r>
      <w:r w:rsidR="005744EE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="009F3403"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="009F3403" w:rsidRPr="005744EE">
        <w:rPr>
          <w:rFonts w:ascii="Times New Roman" w:hAnsi="Times New Roman" w:cs="Times New Roman"/>
          <w:sz w:val="23"/>
          <w:szCs w:val="23"/>
          <w:lang w:val="lt-LT"/>
        </w:rPr>
        <w:t>pavaizduota 3 paveiksle.</w:t>
      </w:r>
    </w:p>
    <w:p w14:paraId="581D66B8" w14:textId="77777777" w:rsidR="008579AC" w:rsidRDefault="009F3403" w:rsidP="008579AC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noProof/>
          <w:sz w:val="23"/>
          <w:szCs w:val="23"/>
          <w:lang w:val="lt-LT"/>
        </w:rPr>
        <w:drawing>
          <wp:inline distT="0" distB="0" distL="0" distR="0" wp14:anchorId="277CF8C4" wp14:editId="006042E3">
            <wp:extent cx="4730620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66" cy="260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3498" w14:textId="04C52AD9" w:rsidR="009F3403" w:rsidRPr="005744EE" w:rsidRDefault="009F3403" w:rsidP="008579AC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H.Markowitz sukurta portfelio teorija leidžia investuotojams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vertinti rizik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ir laukiamas</w:t>
      </w:r>
      <w:r w:rsidR="008579AC"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pajamas.</w:t>
      </w:r>
      <w:r w:rsidR="008579AC">
        <w:rPr>
          <w:rFonts w:ascii="Times New Roman" w:hAnsi="Times New Roman" w:cs="Times New Roman"/>
          <w:sz w:val="23"/>
          <w:szCs w:val="23"/>
          <w:lang w:val="lt-LT"/>
        </w:rPr>
        <w:t xml:space="preserve"> G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alim</w:t>
      </w:r>
      <w:r w:rsidR="008579AC">
        <w:rPr>
          <w:rFonts w:ascii="Times New Roman" w:hAnsi="Times New Roman" w:cs="Times New Roman"/>
          <w:sz w:val="23"/>
          <w:szCs w:val="23"/>
          <w:lang w:val="lt-LT"/>
        </w:rPr>
        <w:t>ą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 rizik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sumažinti, o peln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padidinti, jei bus investuojama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skirtingas</w:t>
      </w:r>
      <w:r w:rsidR="008579AC"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mones, kuri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akcij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kainos juda skirtingomis kryptimis.</w:t>
      </w:r>
      <w:r w:rsidR="008579AC"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Diversifikacija eliminuoja nesistemin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rizik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d</w:t>
      </w:r>
      <w:r w:rsidR="008579AC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l dviej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priežas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:</w:t>
      </w:r>
      <w:r w:rsidR="008579AC"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atskiros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mon</w:t>
      </w:r>
      <w:r w:rsidR="008579AC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 akcijos sudaro nedidel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dal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portfelyje, tod</w:t>
      </w:r>
      <w:r w:rsidR="008579AC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l poveikis (tiek teigiamas, tiek neigiamas)</w:t>
      </w:r>
      <w:r w:rsidR="008579AC">
        <w:rPr>
          <w:rFonts w:ascii="Times New Roman" w:hAnsi="Times New Roman" w:cs="Times New 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mažai juntamas</w:t>
      </w:r>
      <w:r w:rsidR="008579AC">
        <w:rPr>
          <w:rFonts w:ascii="Times New Roman" w:hAnsi="Times New Roman" w:cs="Times New Roman"/>
          <w:sz w:val="23"/>
          <w:szCs w:val="23"/>
          <w:lang w:val="lt-LT"/>
        </w:rPr>
        <w:t>.</w:t>
      </w:r>
    </w:p>
    <w:p w14:paraId="1B098879" w14:textId="77777777" w:rsidR="008579AC" w:rsidRDefault="008579AC" w:rsidP="00D71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</w:p>
    <w:p w14:paraId="5528FDDD" w14:textId="77777777" w:rsidR="00D71225" w:rsidRPr="005744EE" w:rsidRDefault="00D71225" w:rsidP="00D71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Rizikai ir pelningumui, j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dinamikai prognozuoti kuriamos skirtingos strategijos, taikomos</w:t>
      </w:r>
    </w:p>
    <w:p w14:paraId="209FFA01" w14:textId="29FDBA71" w:rsidR="00D71225" w:rsidRPr="005744EE" w:rsidRDefault="00D71225" w:rsidP="00D71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technin</w:t>
      </w:r>
      <w:r w:rsidR="008579AC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 ir fundamentalios analiz</w:t>
      </w:r>
      <w:r w:rsidR="008579AC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 žinios, kuriami rizikos ir pelningumo modeliai. Pastarasis</w:t>
      </w:r>
    </w:p>
    <w:p w14:paraId="3446AF5D" w14:textId="77777777" w:rsidR="00D71225" w:rsidRPr="005744EE" w:rsidRDefault="00D71225" w:rsidP="00D71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bandymas bene geriausiai nusako investuotojui svarbiausi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dydži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(rizikos ir pelningumo)</w:t>
      </w:r>
    </w:p>
    <w:p w14:paraId="40EB9E33" w14:textId="16C242B4" w:rsidR="00923085" w:rsidRPr="005744EE" w:rsidRDefault="00D71225" w:rsidP="00D71225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priklausomyb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.</w:t>
      </w:r>
    </w:p>
    <w:p w14:paraId="0CE212ED" w14:textId="77777777" w:rsidR="00DE6D0A" w:rsidRPr="005744EE" w:rsidRDefault="00DE6D0A" w:rsidP="00D71225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</w:p>
    <w:p w14:paraId="6534EF67" w14:textId="0145BFA5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b/>
          <w:bCs/>
          <w:sz w:val="23"/>
          <w:szCs w:val="23"/>
          <w:lang w:val="lt-LT"/>
        </w:rPr>
        <w:t xml:space="preserve">Ilgalaikio turto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b/>
          <w:bCs/>
          <w:sz w:val="23"/>
          <w:szCs w:val="23"/>
          <w:lang w:val="lt-LT"/>
        </w:rPr>
        <w:t>kainojimo modelis</w:t>
      </w:r>
    </w:p>
    <w:p w14:paraId="3AD134C2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H.Markowitz sukurta portfelio teorija teigia, kad investuotojui r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pi, kaip gauti kuo daugiau</w:t>
      </w:r>
    </w:p>
    <w:p w14:paraId="06E1D75D" w14:textId="68ED2878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naudos pasirenkant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vairius vertybinius popierius. Toks portfelis tur</w:t>
      </w:r>
      <w:r w:rsidR="00FE4A03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t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pasižym</w:t>
      </w:r>
      <w:r w:rsidR="00FE4A03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ti dvejomis</w:t>
      </w:r>
    </w:p>
    <w:p w14:paraId="210FB8F1" w14:textId="5D881082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savyb</w:t>
      </w:r>
      <w:r w:rsidR="00FE4A03">
        <w:rPr>
          <w:rFonts w:ascii="TimesNewRoman" w:eastAsia="TimesNewRoman" w:hAnsi="Times New Roman" w:cs="TimesNewRoman"/>
          <w:sz w:val="23"/>
          <w:szCs w:val="23"/>
          <w:lang w:val="lt-LT"/>
        </w:rPr>
        <w:t>ė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mis: 1. </w:t>
      </w:r>
      <w:bookmarkStart w:id="2" w:name="_GoBack"/>
      <w:r w:rsidRPr="005744EE">
        <w:rPr>
          <w:rFonts w:ascii="Times New Roman" w:hAnsi="Times New Roman" w:cs="Times New Roman"/>
          <w:sz w:val="23"/>
          <w:szCs w:val="23"/>
          <w:lang w:val="lt-LT"/>
        </w:rPr>
        <w:t>mažiausiu pelningumu priimtinam rizikos lygiui; 2. mažiausia rizika esant norimam</w:t>
      </w:r>
      <w:bookmarkEnd w:id="2"/>
    </w:p>
    <w:p w14:paraId="7336CB31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pelningumui. Tai vieno periodo naudos maksimizavimo b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das. (F. K.Reilly, K. C.Brown, 2000)</w:t>
      </w:r>
    </w:p>
    <w:p w14:paraId="181E083F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William Sharpe toliau pl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tojo ši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teorij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. 1964m. sukurtas kapitalo (ilgalaikio turto)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kainojimo</w:t>
      </w:r>
    </w:p>
    <w:p w14:paraId="532F0CA9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modelis (toliau CAPM),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vertina pasirinkto vertybinio popieriaus laukiamos gr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žos ryš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su rizika. Šis</w:t>
      </w:r>
    </w:p>
    <w:p w14:paraId="4F059CF0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modelis leidžia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vertinti ne tik pa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ius rizikingiausius, bet ir mažiau rizikingus vertybinius popierius.</w:t>
      </w:r>
    </w:p>
    <w:p w14:paraId="25629275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Taigi CAPM esm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- parodyti, kokia vertybinio popieriaus rizikos dalis gali arba negali b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ti sumažinta</w:t>
      </w:r>
    </w:p>
    <w:p w14:paraId="5199623A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diversifikacijos b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du. (Y.A. Javed, p.2)</w:t>
      </w:r>
    </w:p>
    <w:p w14:paraId="045A2F1B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Autoriai, kurie tiria CAPM (A.R.Strong (2006), L.Gillette (2005)Y.A.Javed bei kiti), teigia, kad</w:t>
      </w:r>
    </w:p>
    <w:p w14:paraId="12CDBEBB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CAPM pasižymi tam tikromis prielaidomis:</w:t>
      </w:r>
    </w:p>
    <w:p w14:paraId="7A1ACDF1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1. visi investuotojai siekia pelno;</w:t>
      </w:r>
    </w:p>
    <w:p w14:paraId="715B97B9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2. investuotojai 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ra link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rizikuoti;</w:t>
      </w:r>
    </w:p>
    <w:p w14:paraId="61D89A1A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3. gr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žos dispersija atitinka rizikos laipsn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;</w:t>
      </w:r>
    </w:p>
    <w:p w14:paraId="4D9CC810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4. egzistuoja nerizikingas vetybinis popierius, kur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investuotojas gali tiek skolinti, tiek</w:t>
      </w:r>
    </w:p>
    <w:p w14:paraId="12B3E7E1" w14:textId="77777777" w:rsidR="009F3403" w:rsidRPr="005744EE" w:rsidRDefault="009F3403" w:rsidP="009F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lastRenderedPageBreak/>
        <w:t>skolintis neribotom sumom su nerizikinga pelno norma;</w:t>
      </w:r>
    </w:p>
    <w:p w14:paraId="0F3E3C21" w14:textId="77777777" w:rsidR="007E2CE7" w:rsidRPr="005744EE" w:rsidRDefault="009F3403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5. vertybini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popieri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kiekiai yra fiksuoti, lengvai platinami rinkoje ir lengvai dalomi;</w:t>
      </w:r>
    </w:p>
    <w:p w14:paraId="4AF1255F" w14:textId="408D0D1B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6. rinkoje informacija visus dalyvius pasiekia vienu metu, tad ji 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ra vertinga;</w:t>
      </w:r>
    </w:p>
    <w:p w14:paraId="20338328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7. laikoma, kad rinkoje 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ra mokes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, sandorio kašt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ar kit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apribojim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;</w:t>
      </w:r>
    </w:p>
    <w:p w14:paraId="733B609B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8. rinkoje veikia tobula konkurencija, t.y. vienas investuotojas negali niekaip paveikti</w:t>
      </w:r>
    </w:p>
    <w:p w14:paraId="47F61AA9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akcijos rinkos kainos;</w:t>
      </w:r>
    </w:p>
    <w:p w14:paraId="4769A514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9. atskirti finansinis ir gamybos sektoriai;</w:t>
      </w:r>
    </w:p>
    <w:p w14:paraId="3AEEC862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10. 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ra infliacijos bei nerizikingos pal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kan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normos kitimo.</w:t>
      </w:r>
    </w:p>
    <w:p w14:paraId="758A2274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Taikant CAPM praktikoje reikia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vertinti šias prielaidas. Vienos iš j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yra realios (pvz., kai kurie</w:t>
      </w:r>
    </w:p>
    <w:p w14:paraId="4F58A796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investuotojai gali b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ti atleisti nuo mokes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,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manoma skolinti pinigus už neriziking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norm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), ta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iau</w:t>
      </w:r>
    </w:p>
    <w:p w14:paraId="1722119E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dauguma iš šiam modeliui taikom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prielaid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laikomos nerealiomis (pvz., infialcijos ir pal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kan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normos</w:t>
      </w:r>
    </w:p>
    <w:p w14:paraId="110A9200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ra nekintamos, dažniausiai mokami komisiniai tarpininkmas, ne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manoma pasiskolinti už neriikingas</w:t>
      </w:r>
    </w:p>
    <w:p w14:paraId="57FCBD60" w14:textId="5D8FB4EF" w:rsidR="00DE6D0A" w:rsidRPr="005744EE" w:rsidRDefault="007E2CE7" w:rsidP="007E2CE7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pal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kanas ir panašiai). (G.Kancerevy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ius, 2003, p. 334)</w:t>
      </w:r>
    </w:p>
    <w:p w14:paraId="036C9215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CAPM modelyje rizika skirstoma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sistemin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ir nesistemin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(šios s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vokos pateiktos 1.2.1.</w:t>
      </w:r>
    </w:p>
    <w:p w14:paraId="772CF2FD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skyriuje). Sisteminei rizikai skai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iuoti, kaip jau min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ta anks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iau, naudojamas beta koeficientas, kuris</w:t>
      </w:r>
    </w:p>
    <w:p w14:paraId="1272B911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parodo vertybinio popieriaus jautrum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su rinka, t.y. lyginamas vertybinio popieriaus (portfelio) kitimas</w:t>
      </w:r>
    </w:p>
    <w:p w14:paraId="56327D0B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su rinkos kitimu. CAPM teorijos šalininkai tai pat pritaria portfelio diversifikavimui, nes, pasak j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, tik</w:t>
      </w:r>
    </w:p>
    <w:p w14:paraId="69F3EDDA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tokiu b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du galima sumažinti vis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nesistemin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rizik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. (Y.A. Javed, p.3)</w:t>
      </w:r>
    </w:p>
    <w:p w14:paraId="4DF8C2C0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Taigi pagal CAPM model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pageidaujamas pelningumas apskai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iuojams kaip nerizikingos pelno</w:t>
      </w:r>
    </w:p>
    <w:p w14:paraId="5B541192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normos ir rizikos priedo,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vertinan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io vertybinio popieriaus sistemin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rizik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, suma (R.Norvaišien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,</w:t>
      </w:r>
    </w:p>
    <w:p w14:paraId="4332F55E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2004, p.33-34):</w:t>
      </w:r>
    </w:p>
    <w:p w14:paraId="14FBDD22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i/>
          <w:iCs/>
          <w:sz w:val="23"/>
          <w:szCs w:val="23"/>
          <w:lang w:val="lt-LT"/>
        </w:rPr>
        <w:t>RR</w:t>
      </w:r>
      <w:r w:rsidRPr="005744EE">
        <w:rPr>
          <w:rFonts w:ascii="Times New Roman" w:hAnsi="Times New Roman" w:cs="Times New Roman"/>
          <w:i/>
          <w:iCs/>
          <w:sz w:val="16"/>
          <w:szCs w:val="16"/>
          <w:lang w:val="lt-LT"/>
        </w:rPr>
        <w:t>i</w:t>
      </w:r>
      <w:r w:rsidRPr="005744EE">
        <w:rPr>
          <w:rFonts w:ascii="Times New Roman" w:hAnsi="Times New Roman" w:cs="Times New Roman"/>
          <w:i/>
          <w:iCs/>
          <w:sz w:val="23"/>
          <w:szCs w:val="23"/>
          <w:lang w:val="lt-LT"/>
        </w:rPr>
        <w:t>=R</w:t>
      </w:r>
      <w:r w:rsidRPr="005744EE">
        <w:rPr>
          <w:rFonts w:ascii="Times New Roman" w:hAnsi="Times New Roman" w:cs="Times New Roman"/>
          <w:i/>
          <w:iCs/>
          <w:sz w:val="16"/>
          <w:szCs w:val="16"/>
          <w:lang w:val="lt-LT"/>
        </w:rPr>
        <w:t xml:space="preserve">f </w:t>
      </w:r>
      <w:r w:rsidRPr="005744EE">
        <w:rPr>
          <w:rFonts w:ascii="Times New Roman" w:hAnsi="Times New Roman" w:cs="Times New Roman"/>
          <w:i/>
          <w:iCs/>
          <w:sz w:val="23"/>
          <w:szCs w:val="23"/>
          <w:lang w:val="lt-LT"/>
        </w:rPr>
        <w:t xml:space="preserve">+ Rizikos premija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(4)</w:t>
      </w:r>
    </w:p>
    <w:p w14:paraId="1D5F2DDB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Vertybinio popieriaus </w:t>
      </w:r>
      <w:r w:rsidRPr="005744EE">
        <w:rPr>
          <w:rFonts w:ascii="Times New Roman" w:hAnsi="Times New Roman" w:cs="Times New Roman"/>
          <w:i/>
          <w:iCs/>
          <w:sz w:val="23"/>
          <w:szCs w:val="23"/>
          <w:lang w:val="lt-LT"/>
        </w:rPr>
        <w:t xml:space="preserve">i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rizikos premija lygi finansinio isntrumento </w:t>
      </w:r>
      <w:r w:rsidRPr="005744EE">
        <w:rPr>
          <w:rFonts w:ascii="Times New Roman" w:hAnsi="Times New Roman" w:cs="Times New Roman"/>
          <w:i/>
          <w:iCs/>
          <w:sz w:val="23"/>
          <w:szCs w:val="23"/>
          <w:lang w:val="lt-LT"/>
        </w:rPr>
        <w:t xml:space="preserve">i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beta koeficiento bei rinkos</w:t>
      </w:r>
    </w:p>
    <w:p w14:paraId="676EEF7E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rizikos premijos sandaugai (G.Kancerevy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ius, 2003, p.329). Taigi 4 lygyb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galima užraštyti taip:</w:t>
      </w:r>
    </w:p>
    <w:p w14:paraId="25E692CF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RR ( ) </w:t>
      </w:r>
      <w:r w:rsidRPr="005744EE">
        <w:rPr>
          <w:rFonts w:ascii="Times New Roman" w:hAnsi="Times New Roman" w:cs="Times New Roman"/>
          <w:sz w:val="14"/>
          <w:szCs w:val="14"/>
          <w:lang w:val="lt-LT"/>
        </w:rPr>
        <w:t xml:space="preserve">i </w:t>
      </w:r>
      <w:r w:rsidRPr="005744EE">
        <w:rPr>
          <w:rFonts w:ascii="Times New Roman" w:hAnsi="Times New Roman" w:cs="Times New Roman"/>
          <w:i/>
          <w:iCs/>
          <w:sz w:val="14"/>
          <w:szCs w:val="14"/>
          <w:lang w:val="lt-LT"/>
        </w:rPr>
        <w:t xml:space="preserve">f i f </w:t>
      </w:r>
      <w:r w:rsidRPr="005744EE">
        <w:rPr>
          <w:rFonts w:ascii="Symbol" w:hAnsi="Symbol" w:cs="Symbol"/>
          <w:sz w:val="23"/>
          <w:szCs w:val="23"/>
          <w:lang w:val="lt-LT"/>
        </w:rPr>
        <w:t></w:t>
      </w:r>
      <w:r w:rsidRPr="005744EE">
        <w:rPr>
          <w:rFonts w:ascii="Symbol" w:hAnsi="Symbol" w:cs="Symbol"/>
          <w:sz w:val="23"/>
          <w:szCs w:val="23"/>
          <w:lang w:val="lt-LT"/>
        </w:rPr>
        <w:t></w:t>
      </w:r>
      <w:r w:rsidRPr="005744EE">
        <w:rPr>
          <w:rFonts w:ascii="Times New Roman" w:hAnsi="Times New Roman" w:cs="Times New Roman"/>
          <w:i/>
          <w:iCs/>
          <w:sz w:val="23"/>
          <w:szCs w:val="23"/>
          <w:lang w:val="lt-LT"/>
        </w:rPr>
        <w:t xml:space="preserve">R </w:t>
      </w:r>
      <w:r w:rsidRPr="005744EE">
        <w:rPr>
          <w:rFonts w:ascii="Symbol" w:hAnsi="Symbol" w:cs="Symbol"/>
          <w:sz w:val="23"/>
          <w:szCs w:val="23"/>
          <w:lang w:val="lt-LT"/>
        </w:rPr>
        <w:t></w:t>
      </w:r>
      <w:r w:rsidRPr="005744EE">
        <w:rPr>
          <w:rFonts w:ascii="Symbol" w:hAnsi="Symbol" w:cs="Symbol"/>
          <w:sz w:val="23"/>
          <w:szCs w:val="23"/>
          <w:lang w:val="lt-LT"/>
        </w:rPr>
        <w:t></w:t>
      </w:r>
      <w:r w:rsidRPr="005744EE">
        <w:rPr>
          <w:rFonts w:ascii="Symbol" w:hAnsi="Symbol" w:cs="Symbol"/>
          <w:sz w:val="25"/>
          <w:szCs w:val="25"/>
          <w:lang w:val="lt-LT"/>
        </w:rPr>
        <w:t></w:t>
      </w:r>
      <w:r w:rsidRPr="005744EE">
        <w:rPr>
          <w:rFonts w:ascii="Symbol" w:hAnsi="Symbol" w:cs="Symbol"/>
          <w:sz w:val="25"/>
          <w:szCs w:val="25"/>
          <w:lang w:val="lt-LT"/>
        </w:rPr>
        <w:t></w:t>
      </w:r>
      <w:r w:rsidRPr="005744EE">
        <w:rPr>
          <w:rFonts w:ascii="Times New Roman" w:hAnsi="Times New Roman" w:cs="Times New Roman"/>
          <w:i/>
          <w:iCs/>
          <w:sz w:val="23"/>
          <w:szCs w:val="23"/>
          <w:lang w:val="lt-LT"/>
        </w:rPr>
        <w:t xml:space="preserve">MR </w:t>
      </w:r>
      <w:r w:rsidRPr="005744EE">
        <w:rPr>
          <w:rFonts w:ascii="Symbol" w:hAnsi="Symbol" w:cs="Symbol"/>
          <w:sz w:val="23"/>
          <w:szCs w:val="23"/>
          <w:lang w:val="lt-LT"/>
        </w:rPr>
        <w:t>−</w:t>
      </w:r>
      <w:r w:rsidRPr="005744EE">
        <w:rPr>
          <w:rFonts w:ascii="Symbol" w:hAnsi="Symbol" w:cs="Symbol"/>
          <w:sz w:val="23"/>
          <w:szCs w:val="23"/>
          <w:lang w:val="lt-LT"/>
        </w:rPr>
        <w:t></w:t>
      </w:r>
      <w:r w:rsidRPr="005744EE">
        <w:rPr>
          <w:rFonts w:ascii="Times New Roman" w:hAnsi="Times New Roman" w:cs="Times New Roman"/>
          <w:i/>
          <w:iCs/>
          <w:sz w:val="23"/>
          <w:szCs w:val="23"/>
          <w:lang w:val="lt-LT"/>
        </w:rPr>
        <w:t xml:space="preserve">R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(5)</w:t>
      </w:r>
    </w:p>
    <w:p w14:paraId="199AE778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kur: RR</w:t>
      </w:r>
      <w:r w:rsidRPr="005744EE">
        <w:rPr>
          <w:rFonts w:ascii="Times New Roman" w:hAnsi="Times New Roman" w:cs="Times New Roman"/>
          <w:sz w:val="16"/>
          <w:szCs w:val="16"/>
          <w:lang w:val="lt-LT"/>
        </w:rPr>
        <w:t xml:space="preserve">i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– reikalaujamas (planuojams) pelningumas;</w:t>
      </w:r>
    </w:p>
    <w:p w14:paraId="66AE9905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R</w:t>
      </w:r>
      <w:r w:rsidRPr="005744EE">
        <w:rPr>
          <w:rFonts w:ascii="Times New Roman" w:hAnsi="Times New Roman" w:cs="Times New Roman"/>
          <w:sz w:val="16"/>
          <w:szCs w:val="16"/>
          <w:lang w:val="lt-LT"/>
        </w:rPr>
        <w:t xml:space="preserve">f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– nerizikinga pelno norma;</w:t>
      </w:r>
    </w:p>
    <w:p w14:paraId="53313805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β</w:t>
      </w:r>
      <w:r w:rsidRPr="005744EE">
        <w:rPr>
          <w:rFonts w:ascii="Times New Roman" w:hAnsi="Times New Roman" w:cs="Times New Roman"/>
          <w:sz w:val="16"/>
          <w:szCs w:val="16"/>
          <w:lang w:val="lt-LT"/>
        </w:rPr>
        <w:t xml:space="preserve">i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– finansinio instrumento </w:t>
      </w:r>
      <w:r w:rsidRPr="005744EE">
        <w:rPr>
          <w:rFonts w:ascii="Times New Roman" w:hAnsi="Times New Roman" w:cs="Times New Roman"/>
          <w:i/>
          <w:iCs/>
          <w:sz w:val="23"/>
          <w:szCs w:val="23"/>
          <w:lang w:val="lt-LT"/>
        </w:rPr>
        <w:t xml:space="preserve">i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beta;</w:t>
      </w:r>
    </w:p>
    <w:p w14:paraId="223F048A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MR – visos rinkos reikalaujamas (planuojamas) pelningumas;</w:t>
      </w:r>
    </w:p>
    <w:p w14:paraId="669DEB1C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MR-R</w:t>
      </w:r>
      <w:r w:rsidRPr="005744EE">
        <w:rPr>
          <w:rFonts w:ascii="Times New Roman" w:hAnsi="Times New Roman" w:cs="Times New Roman"/>
          <w:sz w:val="16"/>
          <w:szCs w:val="16"/>
          <w:lang w:val="lt-LT"/>
        </w:rPr>
        <w:t xml:space="preserve">f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yra rinkos rizikos premija, kuri atspindi papildom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pelningum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.</w:t>
      </w:r>
    </w:p>
    <w:p w14:paraId="53518E3A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Iš šios lygyb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 matyti, kad išaugus beta koeficientui, padid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ja ir laukiamas pelningumas. Taigi</w:t>
      </w:r>
    </w:p>
    <w:p w14:paraId="7ACA26FA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5 lygtis nustato tiesin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bet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ir vertybinio popieriaus pelningumo priklausomyb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ir grafiškai (4</w:t>
      </w:r>
    </w:p>
    <w:p w14:paraId="61CD7E63" w14:textId="384631D7" w:rsidR="009F3403" w:rsidRPr="005744EE" w:rsidRDefault="007E2CE7" w:rsidP="007E2CE7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paveiksl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lis) išreiškia vertybinio popieriaus rinkos linij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(SML – security market line).</w:t>
      </w:r>
    </w:p>
    <w:p w14:paraId="77F2EA08" w14:textId="77777777" w:rsidR="007E2CE7" w:rsidRPr="005744EE" w:rsidRDefault="007E2CE7" w:rsidP="007E2CE7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</w:p>
    <w:p w14:paraId="23617ADA" w14:textId="1479AA29" w:rsidR="007E2CE7" w:rsidRPr="005744EE" w:rsidRDefault="007E2CE7" w:rsidP="007E2CE7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noProof/>
          <w:sz w:val="23"/>
          <w:szCs w:val="23"/>
          <w:lang w:val="lt-LT"/>
        </w:rPr>
        <w:lastRenderedPageBreak/>
        <w:drawing>
          <wp:inline distT="0" distB="0" distL="0" distR="0" wp14:anchorId="05A767DD" wp14:editId="2C2EA4EC">
            <wp:extent cx="5629275" cy="452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C413" w14:textId="77777777" w:rsidR="007E2CE7" w:rsidRPr="005744EE" w:rsidRDefault="007E2CE7" w:rsidP="007E2CE7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</w:p>
    <w:p w14:paraId="7E1906A8" w14:textId="77777777" w:rsidR="007E2CE7" w:rsidRPr="005744EE" w:rsidRDefault="007E2CE7" w:rsidP="007E2CE7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</w:p>
    <w:p w14:paraId="7DC9B3BA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Taške RF rizikos laipsnis lygus 0. Jei vertybinis popierius yra virš SML (taškas A), tai reiškia,</w:t>
      </w:r>
    </w:p>
    <w:p w14:paraId="3E00F084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kad jis ne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vertintas. Ir atvirkš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iai, jei vertybinis popierius yra žemiau SML, tai reiškia, kad jis</w:t>
      </w:r>
    </w:p>
    <w:p w14:paraId="4517BADD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pervertinamas (taškas B). Taigi SML nuolydis atskiram vertybiniam popieriui nesikei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ia. SML kreiv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</w:t>
      </w:r>
    </w:p>
    <w:p w14:paraId="3A6891FE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nuolydis kei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iasi tik tuo atveju, kai kei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iasi visos rinkos investuotoj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poži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ris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rizikos ir pelningumo</w:t>
      </w:r>
    </w:p>
    <w:p w14:paraId="58B591B7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santyk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. (G.Kancerevy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ius, 2003, p.329)</w:t>
      </w:r>
    </w:p>
    <w:p w14:paraId="48A40E85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CAPM modelis patrauklus tuo, jog si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lo puiki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galimyb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ę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gana patikimai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vertinti rizik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bei jos</w:t>
      </w:r>
    </w:p>
    <w:p w14:paraId="58CDD384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ryš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su laukiamomis pajamomis. Tam naudojamos pagrindin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s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gyvendinamos s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lygos: laukiamos</w:t>
      </w:r>
    </w:p>
    <w:p w14:paraId="6B384891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pajamos yra tiesiogiai susijusios su vertybini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popieri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β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koeficientais;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β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premija yra teigiama, t.y.</w:t>
      </w:r>
    </w:p>
    <w:p w14:paraId="6944C5CE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laukiamos rinkos portfelio pajamos viršija laukiamas pajamas iš vertybini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popieri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, kuri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pajamos</w:t>
      </w:r>
    </w:p>
    <w:p w14:paraId="0E6555AB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nekoreliuoja su rinka (E. F.Fama, K. R.French, 2004, p.30)</w:t>
      </w:r>
    </w:p>
    <w:p w14:paraId="60942ED3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 New Roman" w:cs="TimesNew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Nors CAPM modelis gana populiarus vertinant vertybinius popierius, ta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iau jis turi kelet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</w:p>
    <w:p w14:paraId="2FD54D37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tr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ū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kum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. Vis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pirma, šis modelis remiasi keliomis labai griežtomis ir nerealiomis prielaidomis. Antra,</w:t>
      </w:r>
    </w:p>
    <w:p w14:paraId="24FFF46C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CAPM buvo sukurtas kaip nekintantis vertybini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popieri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vertinimo modelis. To pasekoje, modelis</w:t>
      </w:r>
    </w:p>
    <w:p w14:paraId="0A50AAFB" w14:textId="77777777" w:rsidR="007E2CE7" w:rsidRPr="005744EE" w:rsidRDefault="007E2CE7" w:rsidP="007E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 xml:space="preserve">neatsižvelgia 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finansin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÷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s rinkos dinamik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ą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. Tre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č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ia, CAPM modelis buvo sukurtas stengiantis teoriškai</w:t>
      </w:r>
    </w:p>
    <w:p w14:paraId="212161AE" w14:textId="53BC0732" w:rsidR="007E2CE7" w:rsidRPr="005744EE" w:rsidRDefault="007E2CE7" w:rsidP="007E2CE7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nustatyti ryš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į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tarp finansini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bei nekilnojamo turto sektori</w:t>
      </w:r>
      <w:r w:rsidRPr="005744EE">
        <w:rPr>
          <w:rFonts w:ascii="TimesNewRoman" w:eastAsia="TimesNewRoman" w:hAnsi="Times New Roman" w:cs="TimesNewRoman"/>
          <w:sz w:val="23"/>
          <w:szCs w:val="23"/>
          <w:lang w:val="lt-LT"/>
        </w:rPr>
        <w:t>ų</w:t>
      </w:r>
      <w:r w:rsidRPr="005744EE">
        <w:rPr>
          <w:rFonts w:ascii="Times New Roman" w:hAnsi="Times New Roman" w:cs="Times New Roman"/>
          <w:sz w:val="23"/>
          <w:szCs w:val="23"/>
          <w:lang w:val="lt-LT"/>
        </w:rPr>
        <w:t>. (R. J. Torz, 1998)</w:t>
      </w:r>
    </w:p>
    <w:p w14:paraId="52ED5AC7" w14:textId="77777777" w:rsidR="001C33E0" w:rsidRPr="005744EE" w:rsidRDefault="001C33E0" w:rsidP="007E2CE7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</w:p>
    <w:p w14:paraId="76C0531D" w14:textId="77777777" w:rsidR="001C33E0" w:rsidRPr="005744EE" w:rsidRDefault="001C33E0" w:rsidP="007E2CE7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</w:p>
    <w:p w14:paraId="4B418309" w14:textId="77777777" w:rsidR="001C33E0" w:rsidRPr="005744EE" w:rsidRDefault="001C33E0" w:rsidP="007E2CE7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</w:p>
    <w:p w14:paraId="2B4CC1B8" w14:textId="3680899B" w:rsidR="001C33E0" w:rsidRPr="005744EE" w:rsidRDefault="001C33E0" w:rsidP="007E2CE7">
      <w:pPr>
        <w:pStyle w:val="NoSpacing"/>
        <w:rPr>
          <w:rFonts w:ascii="Times New Roman" w:hAnsi="Times New Roman" w:cs="Times New Roman"/>
          <w:sz w:val="23"/>
          <w:szCs w:val="23"/>
          <w:lang w:val="lt-LT"/>
        </w:rPr>
      </w:pPr>
      <w:r w:rsidRPr="005744EE">
        <w:rPr>
          <w:rFonts w:ascii="Times New Roman" w:hAnsi="Times New Roman" w:cs="Times New Roman"/>
          <w:sz w:val="23"/>
          <w:szCs w:val="23"/>
          <w:lang w:val="lt-LT"/>
        </w:rPr>
        <w:t>http://etalpykla.lituanistikadb.lt/fedora/get/LT-LDB-0001:J.04~2007~1367163822251/DS.002.0.01.ARTIC</w:t>
      </w:r>
    </w:p>
    <w:p w14:paraId="3AB07454" w14:textId="72F4F6AD" w:rsidR="001C33E0" w:rsidRPr="005744EE" w:rsidRDefault="001C33E0" w:rsidP="007E2CE7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lang w:val="lt-LT"/>
        </w:rPr>
        <w:t>Pagrindinio kapitalo kainos modelis ir jo prielaidos Pagrindinio kapitalo kainos modelis buvo sukurtas, siekiant pagr</w:t>
      </w:r>
      <w:r w:rsidRPr="005744EE">
        <w:rPr>
          <w:rFonts w:ascii="MS Gothic" w:hAnsi="MS Gothic" w:cs="MS Gothic"/>
          <w:lang w:val="lt-LT"/>
        </w:rPr>
        <w:t>┊</w:t>
      </w:r>
      <w:r w:rsidRPr="005744EE">
        <w:rPr>
          <w:lang w:val="lt-LT"/>
        </w:rPr>
        <w:t>sti skirting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aktyv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rizikos premijos skirtumus. Pagal CAPM, šiuos skirtumus lemia skirtingas aktyv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generuojam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pajam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rizikingumas. </w:t>
      </w:r>
      <w:r w:rsidRPr="005744EE">
        <w:rPr>
          <w:rFonts w:ascii="MS Gothic" w:hAnsi="MS Gothic" w:cs="MS Gothic"/>
          <w:lang w:val="lt-LT"/>
        </w:rPr>
        <w:t>┉</w:t>
      </w:r>
      <w:r w:rsidRPr="005744EE">
        <w:rPr>
          <w:lang w:val="lt-LT"/>
        </w:rPr>
        <w:t>rodin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>jama, kad tikslus rizikos matas yra beta, o rizikos premija, tenkanti vienam rizikingumo vienetui, yra 202 tokia pati visiems aktyv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tipams. Jeigu yra </w:t>
      </w:r>
      <w:r w:rsidRPr="005744EE">
        <w:rPr>
          <w:rFonts w:ascii="Calibri" w:hAnsi="Calibri" w:cs="Calibri"/>
          <w:lang w:val="lt-LT"/>
        </w:rPr>
        <w:t>ž</w:t>
      </w:r>
      <w:r w:rsidRPr="005744EE">
        <w:rPr>
          <w:lang w:val="lt-LT"/>
        </w:rPr>
        <w:t>inoma laisva nuo rizikos pelno norma ir tam tikro aktyvo koeficientas beta, tai taikant CAPM gali b</w:t>
      </w:r>
      <w:r w:rsidRPr="005744EE">
        <w:rPr>
          <w:rFonts w:ascii="MS Gothic" w:hAnsi="MS Gothic" w:cs="MS Gothic"/>
          <w:lang w:val="lt-LT"/>
        </w:rPr>
        <w:t>┣</w:t>
      </w:r>
      <w:r w:rsidRPr="005744EE">
        <w:rPr>
          <w:lang w:val="lt-LT"/>
        </w:rPr>
        <w:t>ti nustatoma laukiama aktyvo rizikos premija. Pagrindin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 xml:space="preserve"> CAPM lygtis (Jagannathan, McGrattan, 1995): ERi = R0 + (ERm – R0)di (1) 7ia: i = 1,2,…, n; ERi – laukiama i – tojo aktyvo pelno norma; R0 – laisva nuo rizikos pelno norma (ilgalaiki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vyriausyb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>s vertybini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popieri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pelno norma); ERm – laukiama rinkos portfolio pelno norma; di – i – tojo aktyvo beta. Pagrindinio kapitalo kainos modelio lygtis rodo, kad vis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aktyv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i, kuri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rizika yra lygi di , pageidaujama rizikos premija yra tokia pati – lygi laukiamos pelno normos ir laisvos nuo rizikos pelno normos skirtumui, t.y. (ERi – R0). CAPM yra paremtas Markowitz (1952) portfelio teorija. Tariama, kad kiekvienas investuotojas diversifikuoja savo aktyv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portfel</w:t>
      </w:r>
      <w:r w:rsidRPr="005744EE">
        <w:rPr>
          <w:rFonts w:ascii="MS Gothic" w:hAnsi="MS Gothic" w:cs="MS Gothic"/>
          <w:lang w:val="lt-LT"/>
        </w:rPr>
        <w:t>┊</w:t>
      </w:r>
      <w:r w:rsidRPr="005744EE">
        <w:rPr>
          <w:lang w:val="lt-LT"/>
        </w:rPr>
        <w:t>, pasirinkdamas jam priimtin&gt; rizikos ir pelno normos derin</w:t>
      </w:r>
      <w:r w:rsidRPr="005744EE">
        <w:rPr>
          <w:rFonts w:ascii="MS Gothic" w:hAnsi="MS Gothic" w:cs="MS Gothic"/>
          <w:lang w:val="lt-LT"/>
        </w:rPr>
        <w:t>┊</w:t>
      </w:r>
      <w:r w:rsidRPr="005744EE">
        <w:rPr>
          <w:lang w:val="lt-LT"/>
        </w:rPr>
        <w:t>. Siekiant supaprastinti sud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>ting&gt; išorinC aplink&gt;, priimtos papildomos CAPM prielaidos: 1. Investuotojai laukiam&gt; pelno norm&gt; ir rizik&gt; vertina vienoda tikimybe. Taigi visi investuotojai disponuoja ta pa7ia informacija apie rinkoje cirkuliuojan7ius aktyvus; 2. Investavimo perspektyvos – vienas periodas (vieneri metai); 3. Investuotojai vengia rizikos; 4. Visi investuotojai gali skolintis arba skolinti neribot&gt; apimt</w:t>
      </w:r>
      <w:r w:rsidRPr="005744EE">
        <w:rPr>
          <w:rFonts w:ascii="MS Gothic" w:hAnsi="MS Gothic" w:cs="MS Gothic"/>
          <w:lang w:val="lt-LT"/>
        </w:rPr>
        <w:t>┊</w:t>
      </w:r>
      <w:r w:rsidRPr="005744EE">
        <w:rPr>
          <w:lang w:val="lt-LT"/>
        </w:rPr>
        <w:t xml:space="preserve"> pinigini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l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>š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nustatytu laisvu nuo rizikos pelno normos tarifu. Šios pal</w:t>
      </w:r>
      <w:r w:rsidRPr="005744EE">
        <w:rPr>
          <w:rFonts w:ascii="MS Gothic" w:hAnsi="MS Gothic" w:cs="MS Gothic"/>
          <w:lang w:val="lt-LT"/>
        </w:rPr>
        <w:t>┣</w:t>
      </w:r>
      <w:r w:rsidRPr="005744EE">
        <w:rPr>
          <w:lang w:val="lt-LT"/>
        </w:rPr>
        <w:t>kanos nekinta ilgesn</w:t>
      </w:r>
      <w:r w:rsidRPr="005744EE">
        <w:rPr>
          <w:rFonts w:ascii="MS Gothic" w:hAnsi="MS Gothic" w:cs="MS Gothic"/>
          <w:lang w:val="lt-LT"/>
        </w:rPr>
        <w:t>┊</w:t>
      </w:r>
      <w:r w:rsidRPr="005744EE">
        <w:rPr>
          <w:lang w:val="lt-LT"/>
        </w:rPr>
        <w:t xml:space="preserve"> laikotarp</w:t>
      </w:r>
      <w:r w:rsidRPr="005744EE">
        <w:rPr>
          <w:rFonts w:ascii="MS Gothic" w:hAnsi="MS Gothic" w:cs="MS Gothic"/>
          <w:lang w:val="lt-LT"/>
        </w:rPr>
        <w:t>┊</w:t>
      </w:r>
      <w:r w:rsidRPr="005744EE">
        <w:rPr>
          <w:lang w:val="lt-LT"/>
        </w:rPr>
        <w:t>; 5. Sandori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ka</w:t>
      </w:r>
      <w:r w:rsidRPr="005744EE">
        <w:rPr>
          <w:rFonts w:ascii="Calibri" w:hAnsi="Calibri" w:cs="Calibri"/>
          <w:lang w:val="lt-LT"/>
        </w:rPr>
        <w:t>š</w:t>
      </w:r>
      <w:r w:rsidRPr="005744EE">
        <w:rPr>
          <w:lang w:val="lt-LT"/>
        </w:rPr>
        <w:t>tai yra lyg</w:t>
      </w:r>
      <w:r w:rsidRPr="005744EE">
        <w:rPr>
          <w:rFonts w:ascii="MS Gothic" w:hAnsi="MS Gothic" w:cs="MS Gothic"/>
          <w:lang w:val="lt-LT"/>
        </w:rPr>
        <w:t>┣</w:t>
      </w:r>
      <w:r w:rsidRPr="005744EE">
        <w:rPr>
          <w:lang w:val="lt-LT"/>
        </w:rPr>
        <w:t>s nuliui, n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>ra infliacijos, n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>ra diferencijuot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mokes7i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>; 6. Rinkoje veikia daug investuotoj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>, tod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>l pavieniai investuotojai, vykdydami pirkimo-pardavimo sandorius, negali tur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 xml:space="preserve">ti </w:t>
      </w:r>
      <w:r w:rsidRPr="005744EE">
        <w:rPr>
          <w:rFonts w:ascii="MS Gothic" w:hAnsi="MS Gothic" w:cs="MS Gothic"/>
          <w:lang w:val="lt-LT"/>
        </w:rPr>
        <w:t>┊</w:t>
      </w:r>
      <w:r w:rsidRPr="005744EE">
        <w:rPr>
          <w:lang w:val="lt-LT"/>
        </w:rPr>
        <w:t>takos aktyv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kainai; 7. Investuotojai siekia maksimaliai padidinti savo laukiam&gt; peln&gt; per vien&gt; investavimo period&gt;, esant duotam ar žemesniam rizikos lygiui; 8. Kapitalo rinka yra pusiausvyra; 9. Investicij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</w:t>
      </w:r>
      <w:r w:rsidRPr="005744EE">
        <w:rPr>
          <w:rFonts w:ascii="MS Gothic" w:hAnsi="MS Gothic" w:cs="MS Gothic"/>
          <w:lang w:val="lt-LT"/>
        </w:rPr>
        <w:t>┊</w:t>
      </w:r>
      <w:r w:rsidRPr="005744EE">
        <w:rPr>
          <w:lang w:val="lt-LT"/>
        </w:rPr>
        <w:t xml:space="preserve">vertinimui taikomi rodikliai </w:t>
      </w:r>
      <w:r w:rsidRPr="005744EE">
        <w:rPr>
          <w:rFonts w:ascii="Calibri" w:hAnsi="Calibri" w:cs="Calibri"/>
          <w:lang w:val="lt-LT"/>
        </w:rPr>
        <w:t>–</w:t>
      </w:r>
      <w:r w:rsidRPr="005744EE">
        <w:rPr>
          <w:lang w:val="lt-LT"/>
        </w:rPr>
        <w:t xml:space="preserve"> pelno normos vidurkis ir dispersija. CAPM </w:t>
      </w:r>
      <w:r w:rsidRPr="005744EE">
        <w:rPr>
          <w:rFonts w:ascii="MS Gothic" w:hAnsi="MS Gothic" w:cs="MS Gothic"/>
          <w:lang w:val="lt-LT"/>
        </w:rPr>
        <w:t>┊</w:t>
      </w:r>
      <w:r w:rsidRPr="005744EE">
        <w:rPr>
          <w:lang w:val="lt-LT"/>
        </w:rPr>
        <w:t>mon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>s vadovams padeda suprasti kaip investuotojai vertina potenciali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investicini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galimybi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rizikingum&gt;. Tai didina resurs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panaudojimo efektyvum&gt;. Jeigu pagrindinio kapitalo kainos modelis tinkamai </w:t>
      </w:r>
      <w:r w:rsidRPr="005744EE">
        <w:rPr>
          <w:rFonts w:ascii="MS Gothic" w:hAnsi="MS Gothic" w:cs="MS Gothic"/>
          <w:lang w:val="lt-LT"/>
        </w:rPr>
        <w:t>┊</w:t>
      </w:r>
      <w:r w:rsidRPr="005744EE">
        <w:rPr>
          <w:lang w:val="lt-LT"/>
        </w:rPr>
        <w:t>vertina investuotoj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elgsen&gt;, tai analizuojant istorinius duomenis tur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>t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b</w:t>
      </w:r>
      <w:r w:rsidRPr="005744EE">
        <w:rPr>
          <w:rFonts w:ascii="MS Gothic" w:hAnsi="MS Gothic" w:cs="MS Gothic"/>
          <w:lang w:val="lt-LT"/>
        </w:rPr>
        <w:t>┣</w:t>
      </w:r>
      <w:r w:rsidRPr="005744EE">
        <w:rPr>
          <w:lang w:val="lt-LT"/>
        </w:rPr>
        <w:t>ti nustatytas teigiamas tiesinis ry</w:t>
      </w:r>
      <w:r w:rsidRPr="005744EE">
        <w:rPr>
          <w:rFonts w:ascii="Calibri" w:hAnsi="Calibri" w:cs="Calibri"/>
          <w:lang w:val="lt-LT"/>
        </w:rPr>
        <w:t>š</w:t>
      </w:r>
      <w:r w:rsidRPr="005744EE">
        <w:rPr>
          <w:lang w:val="lt-LT"/>
        </w:rPr>
        <w:t>ys tarp vidutin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>s finansini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aktyv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pelno normos ir j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betos. Be to, tur</w:t>
      </w:r>
      <w:r w:rsidRPr="005744EE">
        <w:rPr>
          <w:rFonts w:ascii="MS Gothic" w:hAnsi="MS Gothic" w:cs="MS Gothic"/>
          <w:lang w:val="lt-LT"/>
        </w:rPr>
        <w:t>プ</w:t>
      </w:r>
      <w:r w:rsidRPr="005744EE">
        <w:rPr>
          <w:lang w:val="lt-LT"/>
        </w:rPr>
        <w:t>t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neegzistuoti joks kitas matas, kurio pagalba b</w:t>
      </w:r>
      <w:r w:rsidRPr="005744EE">
        <w:rPr>
          <w:rFonts w:ascii="MS Gothic" w:hAnsi="MS Gothic" w:cs="MS Gothic"/>
          <w:lang w:val="lt-LT"/>
        </w:rPr>
        <w:t>┣</w:t>
      </w:r>
      <w:r w:rsidRPr="005744EE">
        <w:rPr>
          <w:lang w:val="lt-LT"/>
        </w:rPr>
        <w:t>t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paai</w:t>
      </w:r>
      <w:r w:rsidRPr="005744EE">
        <w:rPr>
          <w:rFonts w:ascii="Calibri" w:hAnsi="Calibri" w:cs="Calibri"/>
          <w:lang w:val="lt-LT"/>
        </w:rPr>
        <w:t>š</w:t>
      </w:r>
      <w:r w:rsidRPr="005744EE">
        <w:rPr>
          <w:lang w:val="lt-LT"/>
        </w:rPr>
        <w:t>kinti CAPM betos nepagr</w:t>
      </w:r>
      <w:r w:rsidRPr="005744EE">
        <w:rPr>
          <w:rFonts w:ascii="MS Gothic" w:hAnsi="MS Gothic" w:cs="MS Gothic"/>
          <w:lang w:val="lt-LT"/>
        </w:rPr>
        <w:t>┊</w:t>
      </w:r>
      <w:r w:rsidRPr="005744EE">
        <w:rPr>
          <w:lang w:val="lt-LT"/>
        </w:rPr>
        <w:t>sti finansini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aktyv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vidutini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pelno norm</w:t>
      </w:r>
      <w:r w:rsidRPr="005744EE">
        <w:rPr>
          <w:rFonts w:ascii="MS Gothic" w:hAnsi="MS Gothic" w:cs="MS Gothic"/>
          <w:lang w:val="lt-LT"/>
        </w:rPr>
        <w:t>┧</w:t>
      </w:r>
      <w:r w:rsidRPr="005744EE">
        <w:rPr>
          <w:lang w:val="lt-LT"/>
        </w:rPr>
        <w:t xml:space="preserve"> skirtumai.</w:t>
      </w:r>
    </w:p>
    <w:p w14:paraId="1951C06C" w14:textId="5BFA4D11" w:rsidR="003E2003" w:rsidRPr="005744EE" w:rsidRDefault="003E2003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b/>
          <w:sz w:val="24"/>
          <w:szCs w:val="24"/>
          <w:lang w:val="lt-LT"/>
        </w:rPr>
        <w:t>Aktyvų įkainojimo teorija</w:t>
      </w:r>
      <w:r w:rsidR="00923085" w:rsidRPr="005744EE">
        <w:rPr>
          <w:rFonts w:ascii="Times New Roman" w:hAnsi="Times New Roman" w:cs="Times New Roman"/>
          <w:b/>
          <w:sz w:val="24"/>
          <w:szCs w:val="24"/>
          <w:lang w:val="lt-LT"/>
        </w:rPr>
        <w:t xml:space="preserve"> (APT)</w:t>
      </w:r>
    </w:p>
    <w:p w14:paraId="61F58373" w14:textId="3453CD84" w:rsidR="0052185C" w:rsidRPr="005744EE" w:rsidRDefault="00DF0A88" w:rsidP="00BF19D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CAPM pagrindu buvo kuriami ir tobulinami kiti aktyvų</w:t>
      </w:r>
      <w:r w:rsidR="00A37810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įkainojimo modeliai, kurie</w:t>
      </w:r>
      <w:r w:rsidR="00D123D8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galėjo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turė</w:t>
      </w:r>
      <w:r w:rsidR="00D123D8" w:rsidRPr="005744EE">
        <w:rPr>
          <w:rFonts w:ascii="Times New Roman" w:hAnsi="Times New Roman" w:cs="Times New Roman"/>
          <w:sz w:val="24"/>
          <w:szCs w:val="24"/>
          <w:lang w:val="lt-LT"/>
        </w:rPr>
        <w:t>ti mažiau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apribojimų</w:t>
      </w:r>
      <w:r w:rsidR="00D7045B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ir</w:t>
      </w:r>
      <w:r w:rsidR="00D123D8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prielaidų</w:t>
      </w:r>
      <w:r w:rsidR="00D7045B" w:rsidRPr="005744EE">
        <w:rPr>
          <w:rFonts w:ascii="Times New Roman" w:hAnsi="Times New Roman" w:cs="Times New Roman"/>
          <w:sz w:val="24"/>
          <w:szCs w:val="24"/>
          <w:lang w:val="lt-LT"/>
        </w:rPr>
        <w:t>,</w:t>
      </w:r>
      <w:r w:rsidR="00A37810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D7045B" w:rsidRPr="005744EE">
        <w:rPr>
          <w:rFonts w:ascii="Times New Roman" w:hAnsi="Times New Roman" w:cs="Times New Roman"/>
          <w:sz w:val="24"/>
          <w:szCs w:val="24"/>
          <w:lang w:val="lt-LT"/>
        </w:rPr>
        <w:t>taip pat</w:t>
      </w:r>
      <w:r w:rsidR="00D123D8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turėti</w:t>
      </w:r>
      <w:r w:rsidR="00D7045B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ir</w:t>
      </w:r>
      <w:r w:rsidR="006D3C20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daugiau įtakojančių rodiklių.</w:t>
      </w:r>
      <w:r w:rsidR="00D7045B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Vienas iš patobulintų CAPM</w:t>
      </w:r>
      <w:r w:rsidR="00D123D8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yra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APT. </w:t>
      </w:r>
      <w:r w:rsidR="00415E82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1966 m. atsirado pirmosios arbitražo įkainojimo 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>teorijos</w:t>
      </w:r>
    </w:p>
    <w:p w14:paraId="058D69A2" w14:textId="77777777" w:rsidR="0052185C" w:rsidRPr="005744EE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idėjos, kai B. F. King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(1966) pradėjo finansinių aktyvų grąžos pokyčius aiškinti ekonominiais duomenimis. Tačiau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APT teorijos kūrėju yra laikomas S. A. Ross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(1976), kuris pateikė  teorijai reikiamas prielaidas ir matematiškai pagrindė koncepciją. Šios teorijos pagrindas yra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panašus, kaip ir CAPM, t. y. investuotojai reikalauja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rizikos premijos už nediversifikuotos (sisteminės) rizikos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prisisėmimą. Tačiau arbitražo įkainojimo teorijos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pranašumas prieš CAPM yra tas, kad jį 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>g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alima tirti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empiriniu būdu . Taip pat APT prielaidos yra paprastesnės ir realistiškesnės.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0B8A49B6" w14:textId="77777777" w:rsidR="0052185C" w:rsidRPr="005744EE" w:rsidRDefault="0052185C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2B3E150E" w14:textId="1D1A0DA6" w:rsidR="00415E82" w:rsidRPr="005744EE" w:rsidRDefault="00415E82" w:rsidP="0021645D">
      <w:pPr>
        <w:pStyle w:val="NoSpacing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b/>
          <w:sz w:val="24"/>
          <w:szCs w:val="24"/>
          <w:lang w:val="lt-LT"/>
        </w:rPr>
        <w:t>APT taikymo prielaidos:</w:t>
      </w:r>
    </w:p>
    <w:p w14:paraId="07BA8C83" w14:textId="7371EAA4" w:rsidR="00415E82" w:rsidRPr="005744EE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1)</w:t>
      </w:r>
      <w:r w:rsidR="00415E82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finansų rinkos apibūdinamos kaip tobulos ir</w:t>
      </w:r>
    </w:p>
    <w:p w14:paraId="744383CB" w14:textId="5D240A71" w:rsidR="003C5770" w:rsidRPr="005744EE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efektyvios;</w:t>
      </w:r>
    </w:p>
    <w:p w14:paraId="0020B7C9" w14:textId="61EAED2F" w:rsidR="00415E82" w:rsidRPr="005744EE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lastRenderedPageBreak/>
        <w:t xml:space="preserve">2) </w:t>
      </w:r>
      <w:r w:rsidR="00415E82" w:rsidRPr="005744EE">
        <w:rPr>
          <w:rFonts w:ascii="Times New Roman" w:hAnsi="Times New Roman" w:cs="Times New Roman"/>
          <w:sz w:val="24"/>
          <w:szCs w:val="24"/>
          <w:lang w:val="lt-LT"/>
        </w:rPr>
        <w:t>apibrėžtumo atveju investuotojai visada teiks</w:t>
      </w:r>
    </w:p>
    <w:p w14:paraId="0C9A1DFC" w14:textId="0F7D1455" w:rsidR="003C5770" w:rsidRPr="005744EE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pirmenybę didesnio pelningumo portfeliui;</w:t>
      </w:r>
    </w:p>
    <w:p w14:paraId="1D1824A9" w14:textId="270217F5" w:rsidR="00415E82" w:rsidRPr="005744EE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3) </w:t>
      </w:r>
      <w:r w:rsidR="00415E82" w:rsidRPr="005744EE">
        <w:rPr>
          <w:rFonts w:ascii="Times New Roman" w:hAnsi="Times New Roman" w:cs="Times New Roman"/>
          <w:sz w:val="24"/>
          <w:szCs w:val="24"/>
          <w:lang w:val="lt-LT"/>
        </w:rPr>
        <w:t>egzistuoja tam tikros svarbios sisteminės rizikos,</w:t>
      </w:r>
    </w:p>
    <w:p w14:paraId="4243220D" w14:textId="77777777" w:rsidR="00415E82" w:rsidRPr="005744EE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kurios tiesiškai veikia aktyvų pelningumą,</w:t>
      </w:r>
    </w:p>
    <w:p w14:paraId="247E2F4B" w14:textId="77777777" w:rsidR="00415E82" w:rsidRPr="005744EE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t. y. aktyvų pelningumus generuojantį stochastinį</w:t>
      </w:r>
    </w:p>
    <w:p w14:paraId="17E914E2" w14:textId="77777777" w:rsidR="00415E82" w:rsidRPr="005744EE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procesą galima išreikšti kaip n rizikos</w:t>
      </w:r>
    </w:p>
    <w:p w14:paraId="63D2E443" w14:textId="77777777" w:rsidR="00415E82" w:rsidRPr="005744EE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faktorių ar indeksų tiesinę kombinaciją; be to,</w:t>
      </w:r>
    </w:p>
    <w:p w14:paraId="2C8BC717" w14:textId="77777777" w:rsidR="00415E82" w:rsidRPr="005744EE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investuotojai tas rizikas suvokia ir gali įvertinti</w:t>
      </w:r>
    </w:p>
    <w:p w14:paraId="096194A7" w14:textId="35D4BB41" w:rsidR="00415E82" w:rsidRPr="005744EE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aktyvo jautrumą toms rizikoms;</w:t>
      </w:r>
    </w:p>
    <w:p w14:paraId="63081CD9" w14:textId="35E955A6" w:rsidR="00415E82" w:rsidRPr="005744EE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4)</w:t>
      </w:r>
      <w:r w:rsidR="00415E82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ekonomiko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je yra agresyvių investuotojų, kurie išnaudos aktyvų numatomų</w:t>
      </w:r>
    </w:p>
    <w:p w14:paraId="494798C2" w14:textId="77777777" w:rsidR="00415E82" w:rsidRPr="005744EE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pelningumų skirtumus pasinaudodami</w:t>
      </w:r>
    </w:p>
    <w:p w14:paraId="5ABC21D7" w14:textId="77777777" w:rsidR="00415E82" w:rsidRPr="005744EE" w:rsidRDefault="00415E82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arbitražu.</w:t>
      </w:r>
    </w:p>
    <w:p w14:paraId="53877F92" w14:textId="77777777" w:rsidR="003C5770" w:rsidRPr="005744EE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1035DBB5" w14:textId="6B680EB4" w:rsidR="003C5770" w:rsidRPr="005744EE" w:rsidRDefault="003C577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Šios prielaidos bus taikomos</w:t>
      </w:r>
      <w:r w:rsidR="00E12849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modelyje.</w:t>
      </w:r>
    </w:p>
    <w:p w14:paraId="79E8C84D" w14:textId="72F477C8" w:rsidR="00A37810" w:rsidRPr="005744EE" w:rsidRDefault="006D3C20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5CBB3CF4" wp14:editId="5687F17C">
            <wp:extent cx="2486969" cy="21812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4" cy="218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93D5" w14:textId="0DF8F929" w:rsidR="00A37810" w:rsidRPr="005744EE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1 pav. </w:t>
      </w:r>
      <w:r w:rsidR="006D3C20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Juoda  tiese B yra </w:t>
      </w:r>
      <w:r w:rsidRPr="005744EE">
        <w:rPr>
          <w:rFonts w:ascii="Times New Roman" w:hAnsi="Times New Roman" w:cs="Times New Roman"/>
          <w:i/>
          <w:iCs/>
          <w:color w:val="231F20"/>
          <w:sz w:val="24"/>
          <w:szCs w:val="24"/>
          <w:lang w:val="lt-LT"/>
        </w:rPr>
        <w:t xml:space="preserve">S&amp;P 500 </w:t>
      </w:r>
      <w:r w:rsidR="006D3C20" w:rsidRPr="005744EE">
        <w:rPr>
          <w:rFonts w:ascii="Times New Roman" w:hAnsi="Times New Roman" w:cs="Times New Roman"/>
          <w:i/>
          <w:iCs/>
          <w:color w:val="231F20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indekso vertybinių</w:t>
      </w:r>
    </w:p>
    <w:p w14:paraId="78E554C0" w14:textId="37076AE1" w:rsidR="00A37810" w:rsidRPr="005744EE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popierių rinkos tiesė (SML)</w:t>
      </w:r>
      <w:r w:rsidR="006D3C20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, taškas</w:t>
      </w:r>
      <w:r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A</w:t>
      </w:r>
      <w:r w:rsidR="006D3C20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yra portfelis</w:t>
      </w:r>
      <w:r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, kuris yra</w:t>
      </w:r>
    </w:p>
    <w:p w14:paraId="10F14C0E" w14:textId="77777777" w:rsidR="00A37810" w:rsidRPr="005744EE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aukščiau tiesės. Kai rinka pasiekusi pusiausvyrą,</w:t>
      </w:r>
    </w:p>
    <w:p w14:paraId="13FF63C5" w14:textId="77777777" w:rsidR="00A37810" w:rsidRPr="005744EE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remiantis CAPM tokia situacija neįmanoma, nes</w:t>
      </w:r>
    </w:p>
    <w:p w14:paraId="47A33643" w14:textId="77777777" w:rsidR="00A37810" w:rsidRPr="005744EE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galimas tik vienas visiems prieinamas optimalus</w:t>
      </w:r>
    </w:p>
    <w:p w14:paraId="1502A2FA" w14:textId="4745436B" w:rsidR="00896B23" w:rsidRPr="005744EE" w:rsidRDefault="00A37810" w:rsidP="0021645D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port</w:t>
      </w:r>
      <w:r w:rsidR="004D49C3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felis. Tačiau</w:t>
      </w:r>
      <w:r w:rsidR="00B17064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</w:t>
      </w:r>
      <w:r w:rsidR="00415E82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pavaizduota</w:t>
      </w:r>
      <w:r w:rsidR="004D49C3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situacija</w:t>
      </w:r>
      <w:r w:rsidR="00415E82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yra</w:t>
      </w:r>
      <w:r w:rsidR="0021645D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praktiškai</w:t>
      </w:r>
      <w:r w:rsidR="00415E82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galima</w:t>
      </w:r>
      <w:r w:rsidR="0021645D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..</w:t>
      </w:r>
      <w:r w:rsidR="004D49C3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A portfelio grąžos vidurkis gali būti didesnis nei SML grąžos vidurkis </w:t>
      </w:r>
      <w:r w:rsidR="00B17064" w:rsidRPr="005744EE">
        <w:rPr>
          <w:rFonts w:ascii="Times New Roman" w:hAnsi="Times New Roman" w:cs="Times New Roman"/>
          <w:color w:val="000000"/>
          <w:sz w:val="24"/>
          <w:szCs w:val="24"/>
          <w:lang w:val="lt-LT"/>
        </w:rPr>
        <w:t>fiksuotam Beta dydžiui.</w:t>
      </w:r>
    </w:p>
    <w:p w14:paraId="4043A63C" w14:textId="77777777" w:rsidR="00896B23" w:rsidRPr="005744EE" w:rsidRDefault="00896B23" w:rsidP="0021645D">
      <w:pPr>
        <w:pStyle w:val="NoSpacing"/>
        <w:rPr>
          <w:rFonts w:ascii="Times New Roman" w:hAnsi="Times New Roman" w:cs="Times New Roman"/>
          <w:sz w:val="24"/>
          <w:szCs w:val="24"/>
          <w:lang w:val="lt-LT"/>
        </w:rPr>
      </w:pPr>
    </w:p>
    <w:p w14:paraId="5EE8E0C0" w14:textId="265D9A78" w:rsidR="00D72F83" w:rsidRPr="005744EE" w:rsidRDefault="00415E82" w:rsidP="00D71225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Šis aktyvų įkainojimo modelis yra grindžiamas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tuo, jog aktyvo pelningumą galima numatyti 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n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audojant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analizuojamo aktyvo ir daugelio įprastų rizikos</w:t>
      </w:r>
      <w:r w:rsidR="006F014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faktorių tarpusavio ryšį. Sukurta S. 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>R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oss (1976) arbitražo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įkainojimo teorija numato ryšį tarp atskiro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aktyvo pelningumo ir portfelio pelningumo pasitel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kiant daugelio nepriklausomų kintamųjų (makroekonominių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faktorių, tokių kaip infliacija, ekonomikos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augimas, tarptautinės gamybos apimtis, palūkanų</w:t>
      </w:r>
      <w:r w:rsidR="0052185C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normos ir t.t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.) tiesinę kombinaciją. APT paaiškina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aktyvo kainą, kai tikėta, kad aktyvas yra neteisingai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įkainotas. Tuo tikslu naudojami rizikingo aktyvo pelningumas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ir keleto makroekonominių faktorių rizikos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premijos. Taigi investuotojai pasitelkia šią įkainojimo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teoriją, siekdami pasipelnyti iš neteisingai įvertintų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(dažniausiai nepakankamai įvertintų) aktyvų. Tačiau</w:t>
      </w:r>
      <w:r w:rsidR="00D71225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neteisingai įkainoto aktyvo kaina skirsis nuo tos, kuri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nustatoma šio modelio dėka. Tokiu būdu investuotojai,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norintys pasinaudoti arbitražu ir gauti faktiškai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nerizikingą pelną, sieks palaikyti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lastRenderedPageBreak/>
        <w:t>trumpas pervertinto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aktyvo pozicijas ir kartu laikyti ilgas portfelio (kurio</w:t>
      </w:r>
      <w:r w:rsidR="00D71225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>pagrindu yra atliekami APT skaičiavimai) pozicijas.</w:t>
      </w:r>
    </w:p>
    <w:p w14:paraId="2A840605" w14:textId="0D978D6C" w:rsidR="003C5770" w:rsidRPr="005744EE" w:rsidRDefault="00D72F83" w:rsidP="00BF19D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Jei APT prielaidos patenkinamos, tuomet laukiami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pelningumai bus išsidėstę arti SML, o aktyvas turės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tiek rizikos charakteristikų, kiek yra faktorių. APT teorijos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prielaidos yra artimesnės realybei, nes ne visi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investuotojai elgiasi vienodai rinkoje, net jei jų elgsena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grindžiama racionalumu, t. y. APT nereikalauja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CAPM prielaidų tenkinimo dėl investuotojų naudingumo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funkcijų. Be to, ne kiekvienas investuotojas yra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linkęs turėti rinkos portfelį kaip vienintelę alternatyvą,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t. y. APT nereikalauja CAPM prielaidos tenkinimo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dėl rinkos portfelio savybių (kad jis apima visus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rizikingus aktyvus ir yra efektyvus vidurkio-dispersijos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prasme). Juk rinkoje yra ir kitų rizikingų aktyvų,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t. y. kapitalo rinkose daug agresyvių investuotojų. 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>Š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i</w:t>
      </w:r>
      <w:r w:rsidR="00BF19D7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prielaida patvirtinama 1 pav. duomenimis.</w:t>
      </w:r>
    </w:p>
    <w:p w14:paraId="25E7BEBE" w14:textId="42F570E0" w:rsidR="003C5770" w:rsidRPr="005744EE" w:rsidRDefault="001E6035" w:rsidP="00BF19D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5744EE">
        <w:rPr>
          <w:rFonts w:ascii="Times New Roman" w:hAnsi="Times New Roman" w:cs="Times New Roman"/>
          <w:sz w:val="24"/>
          <w:szCs w:val="24"/>
          <w:lang w:val="lt-LT"/>
        </w:rPr>
        <w:t>Naudodami Lietuvos makro</w:t>
      </w:r>
      <w:r w:rsidR="0021645D" w:rsidRPr="005744E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duomenis, matuojame  rizikos p</w:t>
      </w:r>
      <w:r w:rsidR="000C4657">
        <w:rPr>
          <w:rFonts w:ascii="Times New Roman" w:hAnsi="Times New Roman" w:cs="Times New Roman"/>
          <w:sz w:val="24"/>
          <w:szCs w:val="24"/>
          <w:lang w:val="lt-LT"/>
        </w:rPr>
        <w:t>r</w:t>
      </w:r>
      <w:r w:rsidRPr="005744EE">
        <w:rPr>
          <w:rFonts w:ascii="Times New Roman" w:hAnsi="Times New Roman" w:cs="Times New Roman"/>
          <w:sz w:val="24"/>
          <w:szCs w:val="24"/>
          <w:lang w:val="lt-LT"/>
        </w:rPr>
        <w:t>emijas, kurias gauname už riziką investuojant Lietuvos rinkoje. Makroduomenys iliustruoja Lietuvos ekonominę būklę.</w:t>
      </w:r>
    </w:p>
    <w:sectPr w:rsidR="003C5770" w:rsidRPr="0057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89"/>
    <w:rsid w:val="00042484"/>
    <w:rsid w:val="00066340"/>
    <w:rsid w:val="00074FDE"/>
    <w:rsid w:val="000B1C89"/>
    <w:rsid w:val="000C4657"/>
    <w:rsid w:val="0014795B"/>
    <w:rsid w:val="001A2AEC"/>
    <w:rsid w:val="001C1056"/>
    <w:rsid w:val="001C33E0"/>
    <w:rsid w:val="001C42C0"/>
    <w:rsid w:val="001D3566"/>
    <w:rsid w:val="001E1C70"/>
    <w:rsid w:val="001E6035"/>
    <w:rsid w:val="0021645D"/>
    <w:rsid w:val="00216BEE"/>
    <w:rsid w:val="00250273"/>
    <w:rsid w:val="002A04E2"/>
    <w:rsid w:val="002D043B"/>
    <w:rsid w:val="002D3FD2"/>
    <w:rsid w:val="002F6F75"/>
    <w:rsid w:val="003174F5"/>
    <w:rsid w:val="00367D6A"/>
    <w:rsid w:val="003851CB"/>
    <w:rsid w:val="003C5770"/>
    <w:rsid w:val="003D7ECE"/>
    <w:rsid w:val="003E2003"/>
    <w:rsid w:val="00415E82"/>
    <w:rsid w:val="004541AE"/>
    <w:rsid w:val="00472B46"/>
    <w:rsid w:val="00473046"/>
    <w:rsid w:val="0048754F"/>
    <w:rsid w:val="004D49C3"/>
    <w:rsid w:val="00520BC0"/>
    <w:rsid w:val="0052185C"/>
    <w:rsid w:val="005744EE"/>
    <w:rsid w:val="005C65C1"/>
    <w:rsid w:val="005F579D"/>
    <w:rsid w:val="00617CB5"/>
    <w:rsid w:val="00642A86"/>
    <w:rsid w:val="006D3C20"/>
    <w:rsid w:val="006D480A"/>
    <w:rsid w:val="006F014C"/>
    <w:rsid w:val="006F2AE2"/>
    <w:rsid w:val="007C5977"/>
    <w:rsid w:val="007D5DDA"/>
    <w:rsid w:val="007E2CE7"/>
    <w:rsid w:val="007F050D"/>
    <w:rsid w:val="008017F7"/>
    <w:rsid w:val="0082415B"/>
    <w:rsid w:val="00826842"/>
    <w:rsid w:val="00844452"/>
    <w:rsid w:val="008579AC"/>
    <w:rsid w:val="00896B23"/>
    <w:rsid w:val="00923085"/>
    <w:rsid w:val="009A1B85"/>
    <w:rsid w:val="009F3403"/>
    <w:rsid w:val="00A25363"/>
    <w:rsid w:val="00A37810"/>
    <w:rsid w:val="00A91AC5"/>
    <w:rsid w:val="00A96208"/>
    <w:rsid w:val="00B10A1B"/>
    <w:rsid w:val="00B17064"/>
    <w:rsid w:val="00BB189E"/>
    <w:rsid w:val="00BC5651"/>
    <w:rsid w:val="00BD469C"/>
    <w:rsid w:val="00BF19D7"/>
    <w:rsid w:val="00C947F0"/>
    <w:rsid w:val="00CA1178"/>
    <w:rsid w:val="00CF7E11"/>
    <w:rsid w:val="00D120E3"/>
    <w:rsid w:val="00D123D8"/>
    <w:rsid w:val="00D7045B"/>
    <w:rsid w:val="00D71225"/>
    <w:rsid w:val="00D72F83"/>
    <w:rsid w:val="00D93E80"/>
    <w:rsid w:val="00D96F96"/>
    <w:rsid w:val="00DE6D0A"/>
    <w:rsid w:val="00DF0A88"/>
    <w:rsid w:val="00DF7B9B"/>
    <w:rsid w:val="00E03926"/>
    <w:rsid w:val="00E0661F"/>
    <w:rsid w:val="00E12849"/>
    <w:rsid w:val="00F327D1"/>
    <w:rsid w:val="00F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C536"/>
  <w15:chartTrackingRefBased/>
  <w15:docId w15:val="{ABAEC9BF-42E6-4873-BDF7-6EE9A8E1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216BEE"/>
    <w:pPr>
      <w:keepNext/>
      <w:keepLines/>
      <w:spacing w:before="480" w:after="120" w:line="276" w:lineRule="auto"/>
      <w:contextualSpacing/>
      <w:outlineLvl w:val="0"/>
    </w:pPr>
    <w:rPr>
      <w:rFonts w:ascii="Calibri" w:eastAsia="Calibri" w:hAnsi="Calibri" w:cs="Calibri"/>
      <w:b/>
      <w:color w:val="000000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3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046"/>
    <w:pPr>
      <w:spacing w:after="200" w:line="240" w:lineRule="auto"/>
    </w:pPr>
    <w:rPr>
      <w:rFonts w:ascii="Calibri" w:eastAsia="Calibri" w:hAnsi="Calibri" w:cs="Calibri"/>
      <w:color w:val="000000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046"/>
    <w:rPr>
      <w:rFonts w:ascii="Calibri" w:eastAsia="Calibri" w:hAnsi="Calibri" w:cs="Calibri"/>
      <w:color w:val="000000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4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16BEE"/>
    <w:rPr>
      <w:rFonts w:ascii="Calibri" w:eastAsia="Calibri" w:hAnsi="Calibri" w:cs="Calibri"/>
      <w:b/>
      <w:color w:val="000000"/>
      <w:sz w:val="48"/>
      <w:szCs w:val="48"/>
      <w:lang w:val="en-GB" w:eastAsia="en-GB"/>
    </w:rPr>
  </w:style>
  <w:style w:type="paragraph" w:customStyle="1" w:styleId="Normal1">
    <w:name w:val="Normal1"/>
    <w:rsid w:val="00216BEE"/>
    <w:pPr>
      <w:spacing w:after="200" w:line="27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NoSpacing">
    <w:name w:val="No Spacing"/>
    <w:uiPriority w:val="1"/>
    <w:qFormat/>
    <w:rsid w:val="00216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884DB-6DA7-4B5F-A03C-6CFA7123C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1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17</cp:revision>
  <dcterms:created xsi:type="dcterms:W3CDTF">2016-10-22T09:18:00Z</dcterms:created>
  <dcterms:modified xsi:type="dcterms:W3CDTF">2016-11-12T11:43:00Z</dcterms:modified>
</cp:coreProperties>
</file>