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11A93" w14:textId="0BDB6D52" w:rsidR="00BF19D7" w:rsidRPr="00250273" w:rsidRDefault="00BF19D7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bookmarkStart w:id="0" w:name="_Toc436578911"/>
      <w:bookmarkStart w:id="1" w:name="_Toc436578912"/>
      <w:r w:rsidRPr="00250273">
        <w:rPr>
          <w:rFonts w:ascii="Times New Roman" w:hAnsi="Times New Roman" w:cs="Times New Roman"/>
          <w:sz w:val="24"/>
          <w:szCs w:val="24"/>
          <w:lang w:val="lt-LT"/>
        </w:rPr>
        <w:t>Šią savaitę aprašėme teoriją, dar nebaigta.</w:t>
      </w:r>
    </w:p>
    <w:p w14:paraId="1FB56381" w14:textId="77777777" w:rsidR="00BF19D7" w:rsidRPr="00250273" w:rsidRDefault="00BF19D7" w:rsidP="0021645D">
      <w:pPr>
        <w:pStyle w:val="NoSpacing"/>
        <w:rPr>
          <w:rFonts w:ascii="Times New Roman" w:hAnsi="Times New Roman" w:cs="Times New Roman"/>
          <w:b/>
          <w:sz w:val="24"/>
          <w:szCs w:val="24"/>
          <w:lang w:val="lt-LT"/>
        </w:rPr>
      </w:pPr>
    </w:p>
    <w:p w14:paraId="33EE01B9" w14:textId="77777777" w:rsidR="00216BEE" w:rsidRPr="00250273" w:rsidRDefault="00216BEE" w:rsidP="0021645D">
      <w:pPr>
        <w:pStyle w:val="NoSpacing"/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250273">
        <w:rPr>
          <w:rFonts w:ascii="Times New Roman" w:hAnsi="Times New Roman" w:cs="Times New Roman"/>
          <w:b/>
          <w:sz w:val="24"/>
          <w:szCs w:val="24"/>
          <w:lang w:val="lt-LT"/>
        </w:rPr>
        <w:t>Santrauka</w:t>
      </w:r>
      <w:bookmarkEnd w:id="0"/>
    </w:p>
    <w:p w14:paraId="4CC4F3A4" w14:textId="2748A733" w:rsidR="00BD469C" w:rsidRPr="00250273" w:rsidRDefault="0014795B" w:rsidP="00BF19D7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lt-LT"/>
        </w:rPr>
      </w:pPr>
      <w:r w:rsidRPr="00250273">
        <w:rPr>
          <w:rFonts w:ascii="Times New Roman" w:hAnsi="Times New Roman" w:cs="Times New Roman"/>
          <w:sz w:val="24"/>
          <w:szCs w:val="24"/>
          <w:lang w:val="lt-LT"/>
        </w:rPr>
        <w:t>M</w:t>
      </w:r>
      <w:r w:rsidR="00216BEE" w:rsidRPr="00250273">
        <w:rPr>
          <w:rFonts w:ascii="Times New Roman" w:hAnsi="Times New Roman" w:cs="Times New Roman"/>
          <w:sz w:val="24"/>
          <w:szCs w:val="24"/>
          <w:lang w:val="lt-LT"/>
        </w:rPr>
        <w:t>akroekonom</w:t>
      </w:r>
      <w:r w:rsidRPr="00250273">
        <w:rPr>
          <w:rFonts w:ascii="Times New Roman" w:hAnsi="Times New Roman" w:cs="Times New Roman"/>
          <w:sz w:val="24"/>
          <w:szCs w:val="24"/>
          <w:lang w:val="lt-LT"/>
        </w:rPr>
        <w:t>iai ir sentimentiniai rodikliai</w:t>
      </w:r>
      <w:r w:rsidR="00216BEE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gali padėti nuspėti ateities verslo ciklą, kuris</w:t>
      </w:r>
      <w:r w:rsidR="00BB189E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turi įtakos</w:t>
      </w:r>
      <w:r w:rsidR="00216BEE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BD469C" w:rsidRPr="00250273">
        <w:rPr>
          <w:rFonts w:ascii="Times New Roman" w:hAnsi="Times New Roman" w:cs="Times New Roman"/>
          <w:sz w:val="24"/>
          <w:szCs w:val="24"/>
          <w:lang w:val="lt-LT"/>
        </w:rPr>
        <w:t>akcijų pelningum</w:t>
      </w:r>
      <w:r w:rsidR="00BB189E" w:rsidRPr="00250273">
        <w:rPr>
          <w:rFonts w:ascii="Times New Roman" w:hAnsi="Times New Roman" w:cs="Times New Roman"/>
          <w:sz w:val="24"/>
          <w:szCs w:val="24"/>
          <w:lang w:val="lt-LT"/>
        </w:rPr>
        <w:t>ui</w:t>
      </w:r>
      <w:r w:rsidR="00216BEE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. Sudarytas „OMX Vilnius“ idekso grąžos prognozavimo modelis naudojant „Arbitražo įkainojimo teorema” (angl. APT), siekiant išsiaiškinti, </w:t>
      </w:r>
      <w:r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kokie Lietuvos makroekonominiai ir rinkos sentimentiniai rodikliai tiesiškai paveikia </w:t>
      </w:r>
      <w:r w:rsidR="00216BEE" w:rsidRPr="00250273">
        <w:rPr>
          <w:rFonts w:ascii="Times New Roman" w:hAnsi="Times New Roman" w:cs="Times New Roman"/>
          <w:sz w:val="24"/>
          <w:szCs w:val="24"/>
          <w:lang w:val="lt-LT"/>
        </w:rPr>
        <w:t>„OMX Vilnius“ indekso grąž</w:t>
      </w:r>
      <w:r w:rsidRPr="00250273">
        <w:rPr>
          <w:rFonts w:ascii="Times New Roman" w:hAnsi="Times New Roman" w:cs="Times New Roman"/>
          <w:sz w:val="24"/>
          <w:szCs w:val="24"/>
          <w:lang w:val="lt-LT"/>
        </w:rPr>
        <w:t>a</w:t>
      </w:r>
      <w:r w:rsidR="00216BEE" w:rsidRPr="00250273">
        <w:rPr>
          <w:rFonts w:ascii="Times New Roman" w:hAnsi="Times New Roman" w:cs="Times New Roman"/>
          <w:sz w:val="24"/>
          <w:szCs w:val="24"/>
          <w:lang w:val="lt-LT"/>
        </w:rPr>
        <w:t>s. Duomenys yra mėnesiniai ir naudojami nuo 2002 iki 2016 metų.</w:t>
      </w:r>
      <w:r w:rsidR="00BD469C" w:rsidRPr="00250273">
        <w:rPr>
          <w:rFonts w:ascii="Times New Roman" w:hAnsi="Times New Roman" w:cs="Times New Roman"/>
          <w:sz w:val="24"/>
          <w:szCs w:val="24"/>
          <w:lang w:val="lt-LT"/>
        </w:rPr>
        <w:t>Dalis makroekonominių rodiklių</w:t>
      </w:r>
      <w:r w:rsidR="00F327D1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yra reikšmingi vertinant</w:t>
      </w:r>
      <w:r w:rsidR="00BD469C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indekso </w:t>
      </w:r>
      <w:r w:rsidR="00BB189E" w:rsidRPr="00250273">
        <w:rPr>
          <w:rFonts w:ascii="Times New Roman" w:hAnsi="Times New Roman" w:cs="Times New Roman"/>
          <w:sz w:val="24"/>
          <w:szCs w:val="24"/>
          <w:lang w:val="lt-LT"/>
        </w:rPr>
        <w:t>kainos pokyčius</w:t>
      </w:r>
      <w:r w:rsidR="00BD469C" w:rsidRPr="00250273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3AC3C7D3" w14:textId="77777777" w:rsidR="00216BEE" w:rsidRPr="00250273" w:rsidRDefault="00216BEE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</w:p>
    <w:p w14:paraId="03D5BD0D" w14:textId="7980134D" w:rsidR="00216BEE" w:rsidRPr="00250273" w:rsidRDefault="00216BEE" w:rsidP="0021645D">
      <w:pPr>
        <w:pStyle w:val="NoSpacing"/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250273">
        <w:rPr>
          <w:rFonts w:ascii="Times New Roman" w:hAnsi="Times New Roman" w:cs="Times New Roman"/>
          <w:b/>
          <w:sz w:val="24"/>
          <w:szCs w:val="24"/>
          <w:lang w:val="lt-LT"/>
        </w:rPr>
        <w:t>Darbe naudojami trumpiniai</w:t>
      </w:r>
      <w:r w:rsidR="0021645D" w:rsidRPr="00250273">
        <w:rPr>
          <w:rFonts w:ascii="Times New Roman" w:hAnsi="Times New Roman" w:cs="Times New Roman"/>
          <w:b/>
          <w:sz w:val="24"/>
          <w:szCs w:val="24"/>
          <w:lang w:val="lt-LT"/>
        </w:rPr>
        <w:t>:</w:t>
      </w:r>
    </w:p>
    <w:p w14:paraId="675DFDEE" w14:textId="05030C26" w:rsidR="00923085" w:rsidRPr="00250273" w:rsidRDefault="00923085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250273">
        <w:rPr>
          <w:rFonts w:ascii="Times New Roman" w:hAnsi="Times New Roman" w:cs="Times New Roman"/>
          <w:sz w:val="24"/>
          <w:szCs w:val="24"/>
          <w:lang w:val="lt-LT"/>
        </w:rPr>
        <w:t>kk – kasyba ir karjerų eksploatacija</w:t>
      </w:r>
    </w:p>
    <w:p w14:paraId="1BE388CD" w14:textId="77777777" w:rsidR="00923085" w:rsidRPr="00250273" w:rsidRDefault="00923085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250273">
        <w:rPr>
          <w:rFonts w:ascii="Times New Roman" w:hAnsi="Times New Roman" w:cs="Times New Roman"/>
          <w:sz w:val="24"/>
          <w:szCs w:val="24"/>
          <w:lang w:val="lt-LT"/>
        </w:rPr>
        <w:t>mp – mažmeninė prekyba</w:t>
      </w:r>
    </w:p>
    <w:p w14:paraId="0303E530" w14:textId="77777777" w:rsidR="00923085" w:rsidRPr="00250273" w:rsidRDefault="00923085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250273">
        <w:rPr>
          <w:rFonts w:ascii="Times New Roman" w:hAnsi="Times New Roman" w:cs="Times New Roman"/>
          <w:sz w:val="24"/>
          <w:szCs w:val="24"/>
          <w:lang w:val="lt-LT"/>
        </w:rPr>
        <w:t>vp – verslo plėtros aktyvumas per 3 mėnesius</w:t>
      </w:r>
    </w:p>
    <w:p w14:paraId="477C0534" w14:textId="77777777" w:rsidR="00923085" w:rsidRPr="00250273" w:rsidRDefault="00923085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250273">
        <w:rPr>
          <w:rFonts w:ascii="Times New Roman" w:hAnsi="Times New Roman" w:cs="Times New Roman"/>
          <w:sz w:val="24"/>
          <w:szCs w:val="24"/>
          <w:lang w:val="lt-LT"/>
        </w:rPr>
        <w:t>ta – turimos akcijos</w:t>
      </w:r>
    </w:p>
    <w:p w14:paraId="7BE08085" w14:textId="77777777" w:rsidR="00923085" w:rsidRPr="00250273" w:rsidRDefault="00923085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250273">
        <w:rPr>
          <w:rFonts w:ascii="Times New Roman" w:hAnsi="Times New Roman" w:cs="Times New Roman"/>
          <w:sz w:val="24"/>
          <w:szCs w:val="24"/>
          <w:lang w:val="lt-LT"/>
        </w:rPr>
        <w:t>ul – užsakymų lūkesčiai</w:t>
      </w:r>
    </w:p>
    <w:p w14:paraId="6EAF5CFC" w14:textId="77777777" w:rsidR="00923085" w:rsidRPr="00250273" w:rsidRDefault="00923085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250273">
        <w:rPr>
          <w:rFonts w:ascii="Times New Roman" w:hAnsi="Times New Roman" w:cs="Times New Roman"/>
          <w:sz w:val="24"/>
          <w:szCs w:val="24"/>
          <w:lang w:val="lt-LT"/>
        </w:rPr>
        <w:t>dll – darbo lygio lūkesčiai</w:t>
      </w:r>
    </w:p>
    <w:p w14:paraId="588F1453" w14:textId="77777777" w:rsidR="00923085" w:rsidRPr="00250273" w:rsidRDefault="00923085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250273">
        <w:rPr>
          <w:rFonts w:ascii="Times New Roman" w:hAnsi="Times New Roman" w:cs="Times New Roman"/>
          <w:sz w:val="24"/>
          <w:szCs w:val="24"/>
          <w:lang w:val="lt-LT"/>
        </w:rPr>
        <w:t>mhope – mažmeninės prekybos pasitikėjimas</w:t>
      </w:r>
    </w:p>
    <w:p w14:paraId="040B99D6" w14:textId="77777777" w:rsidR="00923085" w:rsidRPr="00250273" w:rsidRDefault="00923085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250273">
        <w:rPr>
          <w:rFonts w:ascii="Times New Roman" w:hAnsi="Times New Roman" w:cs="Times New Roman"/>
          <w:sz w:val="24"/>
          <w:szCs w:val="24"/>
          <w:lang w:val="lt-LT"/>
        </w:rPr>
        <w:t>shope – statybų pasitikėjimas</w:t>
      </w:r>
    </w:p>
    <w:p w14:paraId="4C194683" w14:textId="77777777" w:rsidR="00923085" w:rsidRPr="00250273" w:rsidRDefault="00923085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250273">
        <w:rPr>
          <w:rFonts w:ascii="Times New Roman" w:hAnsi="Times New Roman" w:cs="Times New Roman"/>
          <w:sz w:val="24"/>
          <w:szCs w:val="24"/>
          <w:lang w:val="lt-LT"/>
        </w:rPr>
        <w:t>phope – paslaugų pasitikėjimas</w:t>
      </w:r>
    </w:p>
    <w:p w14:paraId="00B2EA08" w14:textId="77777777" w:rsidR="00923085" w:rsidRPr="00250273" w:rsidRDefault="00923085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250273">
        <w:rPr>
          <w:rFonts w:ascii="Times New Roman" w:hAnsi="Times New Roman" w:cs="Times New Roman"/>
          <w:sz w:val="24"/>
          <w:szCs w:val="24"/>
          <w:lang w:val="lt-LT"/>
        </w:rPr>
        <w:t>vhope – vartotojų pasitikėjimas</w:t>
      </w:r>
    </w:p>
    <w:p w14:paraId="6AC8F199" w14:textId="77777777" w:rsidR="00923085" w:rsidRPr="00250273" w:rsidRDefault="00923085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pramhope – pramonės pasitikėjimas </w:t>
      </w:r>
    </w:p>
    <w:p w14:paraId="39E9595E" w14:textId="77777777" w:rsidR="00923085" w:rsidRPr="00250273" w:rsidRDefault="00923085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250273">
        <w:rPr>
          <w:rFonts w:ascii="Times New Roman" w:hAnsi="Times New Roman" w:cs="Times New Roman"/>
          <w:sz w:val="24"/>
          <w:szCs w:val="24"/>
          <w:lang w:val="lt-LT"/>
        </w:rPr>
        <w:t>gkl – gamintojų kainų lygis</w:t>
      </w:r>
    </w:p>
    <w:p w14:paraId="39C25591" w14:textId="60F5C4A7" w:rsidR="00216BEE" w:rsidRPr="00250273" w:rsidRDefault="00923085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250273">
        <w:rPr>
          <w:rFonts w:ascii="Times New Roman" w:hAnsi="Times New Roman" w:cs="Times New Roman"/>
          <w:sz w:val="24"/>
          <w:szCs w:val="24"/>
          <w:lang w:val="lt-LT"/>
        </w:rPr>
        <w:t>ip – industrinė produkcija</w:t>
      </w:r>
    </w:p>
    <w:p w14:paraId="4A8F57D6" w14:textId="77777777" w:rsidR="0021645D" w:rsidRPr="00250273" w:rsidRDefault="0021645D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</w:p>
    <w:p w14:paraId="6F597E34" w14:textId="7AB47F2E" w:rsidR="00216BEE" w:rsidRPr="00250273" w:rsidRDefault="00216BEE" w:rsidP="0021645D">
      <w:pPr>
        <w:pStyle w:val="NoSpacing"/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250273">
        <w:rPr>
          <w:rFonts w:ascii="Times New Roman" w:hAnsi="Times New Roman" w:cs="Times New Roman"/>
          <w:b/>
          <w:sz w:val="24"/>
          <w:szCs w:val="24"/>
          <w:lang w:val="lt-LT"/>
        </w:rPr>
        <w:t>Įvadas</w:t>
      </w:r>
      <w:bookmarkEnd w:id="1"/>
    </w:p>
    <w:p w14:paraId="44BB4781" w14:textId="525FD814" w:rsidR="00923085" w:rsidRPr="00250273" w:rsidRDefault="00472B46" w:rsidP="00BF19D7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lt-LT"/>
        </w:rPr>
      </w:pPr>
      <w:r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Akcijų </w:t>
      </w:r>
      <w:r w:rsidR="00DF7B9B" w:rsidRPr="00250273">
        <w:rPr>
          <w:rFonts w:ascii="Times New Roman" w:hAnsi="Times New Roman" w:cs="Times New Roman"/>
          <w:sz w:val="24"/>
          <w:szCs w:val="24"/>
          <w:lang w:val="lt-LT"/>
        </w:rPr>
        <w:t>pokyčiams yra reikšminga ekonomikos būsena</w:t>
      </w:r>
      <w:r w:rsidRPr="00250273">
        <w:rPr>
          <w:rFonts w:ascii="Times New Roman" w:hAnsi="Times New Roman" w:cs="Times New Roman"/>
          <w:sz w:val="24"/>
          <w:szCs w:val="24"/>
          <w:lang w:val="lt-LT"/>
        </w:rPr>
        <w:t>. Jei ekonomika aug</w:t>
      </w:r>
      <w:r w:rsidR="003E2003" w:rsidRPr="00250273">
        <w:rPr>
          <w:rFonts w:ascii="Times New Roman" w:hAnsi="Times New Roman" w:cs="Times New Roman"/>
          <w:sz w:val="24"/>
          <w:szCs w:val="24"/>
          <w:lang w:val="lt-LT"/>
        </w:rPr>
        <w:t>a</w:t>
      </w:r>
      <w:r w:rsidR="00DF7B9B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, </w:t>
      </w:r>
      <w:r w:rsidR="00BC5651" w:rsidRPr="00250273">
        <w:rPr>
          <w:rFonts w:ascii="Times New Roman" w:hAnsi="Times New Roman" w:cs="Times New Roman"/>
          <w:sz w:val="24"/>
          <w:szCs w:val="24"/>
          <w:lang w:val="lt-LT"/>
        </w:rPr>
        <w:t>tuomet dauguma įmonių padidin</w:t>
      </w:r>
      <w:r w:rsidR="003E2003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a </w:t>
      </w:r>
      <w:r w:rsidR="00BC5651" w:rsidRPr="00250273">
        <w:rPr>
          <w:rFonts w:ascii="Times New Roman" w:hAnsi="Times New Roman" w:cs="Times New Roman"/>
          <w:sz w:val="24"/>
          <w:szCs w:val="24"/>
          <w:lang w:val="lt-LT"/>
        </w:rPr>
        <w:t>savo pelną</w:t>
      </w:r>
      <w:r w:rsidR="00BB189E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ir gamybą</w:t>
      </w:r>
      <w:r w:rsidR="00BC5651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. </w:t>
      </w:r>
      <w:r w:rsidR="00D96F96" w:rsidRPr="00250273">
        <w:rPr>
          <w:rFonts w:ascii="Times New Roman" w:hAnsi="Times New Roman" w:cs="Times New Roman"/>
          <w:sz w:val="24"/>
          <w:szCs w:val="24"/>
          <w:lang w:val="lt-LT"/>
        </w:rPr>
        <w:t>Priešingas</w:t>
      </w:r>
      <w:r w:rsidR="003E2003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procesas, kai ekonomika traukiasi. </w:t>
      </w:r>
      <w:r w:rsidR="00216BEE" w:rsidRPr="00250273">
        <w:rPr>
          <w:rFonts w:ascii="Times New Roman" w:hAnsi="Times New Roman" w:cs="Times New Roman"/>
          <w:sz w:val="24"/>
          <w:szCs w:val="24"/>
          <w:lang w:val="lt-LT"/>
        </w:rPr>
        <w:t>Egzistuoja makroekonomi</w:t>
      </w:r>
      <w:r w:rsidR="002A04E2" w:rsidRPr="00250273">
        <w:rPr>
          <w:rFonts w:ascii="Times New Roman" w:hAnsi="Times New Roman" w:cs="Times New Roman"/>
          <w:sz w:val="24"/>
          <w:szCs w:val="24"/>
          <w:lang w:val="lt-LT"/>
        </w:rPr>
        <w:t>ni</w:t>
      </w:r>
      <w:r w:rsidR="00617CB5" w:rsidRPr="00250273">
        <w:rPr>
          <w:rFonts w:ascii="Times New Roman" w:hAnsi="Times New Roman" w:cs="Times New Roman"/>
          <w:sz w:val="24"/>
          <w:szCs w:val="24"/>
          <w:lang w:val="lt-LT"/>
        </w:rPr>
        <w:t>ai rodikliai</w:t>
      </w:r>
      <w:r w:rsidR="00D96F96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tokie kaip</w:t>
      </w:r>
      <w:r w:rsidR="007D5DDA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1C1056" w:rsidRPr="00250273">
        <w:rPr>
          <w:rFonts w:ascii="Times New Roman" w:hAnsi="Times New Roman" w:cs="Times New Roman"/>
          <w:sz w:val="24"/>
          <w:szCs w:val="24"/>
          <w:lang w:val="lt-LT"/>
        </w:rPr>
        <w:t>infliacija, valiutos kursas, palūkanų dydis,</w:t>
      </w:r>
      <w:r w:rsidR="001D3566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kurie</w:t>
      </w:r>
      <w:r w:rsidR="001C1056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1D3566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gali paaiškinti akcijų grąžas. Tačiau yra </w:t>
      </w:r>
      <w:r w:rsidR="00367D6A" w:rsidRPr="00250273">
        <w:rPr>
          <w:rFonts w:ascii="Times New Roman" w:hAnsi="Times New Roman" w:cs="Times New Roman"/>
          <w:sz w:val="24"/>
          <w:szCs w:val="24"/>
          <w:lang w:val="lt-LT"/>
        </w:rPr>
        <w:t>atlikt</w:t>
      </w:r>
      <w:r w:rsidR="001D3566" w:rsidRPr="00250273">
        <w:rPr>
          <w:rFonts w:ascii="Times New Roman" w:hAnsi="Times New Roman" w:cs="Times New Roman"/>
          <w:sz w:val="24"/>
          <w:szCs w:val="24"/>
          <w:lang w:val="lt-LT"/>
        </w:rPr>
        <w:t>as tyrimas</w:t>
      </w:r>
      <w:r w:rsidR="001C1056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Rusijos rinkoje, remiantis</w:t>
      </w:r>
      <w:r w:rsidR="007D5DDA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9A1B85" w:rsidRPr="00250273">
        <w:rPr>
          <w:rFonts w:ascii="Times New Roman" w:hAnsi="Times New Roman" w:cs="Times New Roman"/>
          <w:sz w:val="24"/>
          <w:szCs w:val="24"/>
          <w:lang w:val="lt-LT"/>
        </w:rPr>
        <w:t>arbitražo įkainojimo teorija, kurio tyrimo autorius</w:t>
      </w:r>
      <w:r w:rsidR="0014795B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nesugebėjo rasti </w:t>
      </w:r>
      <w:r w:rsidR="00367D6A" w:rsidRPr="00250273">
        <w:rPr>
          <w:rFonts w:ascii="Times New Roman" w:hAnsi="Times New Roman" w:cs="Times New Roman"/>
          <w:sz w:val="24"/>
          <w:szCs w:val="24"/>
          <w:lang w:val="lt-LT"/>
        </w:rPr>
        <w:t>reikšmingos</w:t>
      </w:r>
      <w:r w:rsidR="0014795B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makroekonominių duomenų</w:t>
      </w:r>
      <w:r w:rsidR="00367D6A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1C1056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įtakos</w:t>
      </w:r>
      <w:r w:rsidR="00367D6A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akcijų grąžoms.</w:t>
      </w:r>
      <w:r w:rsidR="001D3566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O Šri Lankos ir Indijos rinkoms atlikti tyrimai sugebėjo </w:t>
      </w:r>
      <w:r w:rsidR="001D3566" w:rsidRPr="0082415B">
        <w:rPr>
          <w:rFonts w:ascii="Times New Roman" w:hAnsi="Times New Roman" w:cs="Times New Roman"/>
          <w:color w:val="FF0000"/>
          <w:sz w:val="24"/>
          <w:szCs w:val="24"/>
          <w:lang w:val="lt-LT"/>
        </w:rPr>
        <w:t>įrodyti</w:t>
      </w:r>
      <w:r w:rsidR="001D3566" w:rsidRPr="00250273">
        <w:rPr>
          <w:rFonts w:ascii="Times New Roman" w:hAnsi="Times New Roman" w:cs="Times New Roman"/>
          <w:sz w:val="24"/>
          <w:szCs w:val="24"/>
          <w:lang w:val="lt-LT"/>
        </w:rPr>
        <w:t>, jog makroekonominiai rodikliai turi įtakos akcijų grąžai.</w:t>
      </w:r>
      <w:r w:rsidR="007D5DDA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1C1056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Todėl </w:t>
      </w:r>
      <w:r w:rsidR="00D93E80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nutarta </w:t>
      </w:r>
      <w:r w:rsidR="001C1056" w:rsidRPr="00250273">
        <w:rPr>
          <w:rFonts w:ascii="Times New Roman" w:hAnsi="Times New Roman" w:cs="Times New Roman"/>
          <w:sz w:val="24"/>
          <w:szCs w:val="24"/>
          <w:lang w:val="lt-LT"/>
        </w:rPr>
        <w:t>ištirti Lietuvos akcijų rinkos grąžos priklausom</w:t>
      </w:r>
      <w:r w:rsidR="007D5DDA" w:rsidRPr="00250273">
        <w:rPr>
          <w:rFonts w:ascii="Times New Roman" w:hAnsi="Times New Roman" w:cs="Times New Roman"/>
          <w:sz w:val="24"/>
          <w:szCs w:val="24"/>
          <w:lang w:val="lt-LT"/>
        </w:rPr>
        <w:t>ybę nuo makro ir sentimentinių rodiklių</w:t>
      </w:r>
      <w:r w:rsidR="0082415B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923085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remiantis </w:t>
      </w:r>
      <w:r w:rsidR="00D93E80" w:rsidRPr="00250273">
        <w:rPr>
          <w:rFonts w:ascii="Times New Roman" w:hAnsi="Times New Roman" w:cs="Times New Roman"/>
          <w:sz w:val="24"/>
          <w:szCs w:val="24"/>
          <w:lang w:val="lt-LT"/>
        </w:rPr>
        <w:t>Arbitražo įkainoj</w:t>
      </w:r>
      <w:r w:rsidR="00923085" w:rsidRPr="00250273">
        <w:rPr>
          <w:rFonts w:ascii="Times New Roman" w:hAnsi="Times New Roman" w:cs="Times New Roman"/>
          <w:sz w:val="24"/>
          <w:szCs w:val="24"/>
          <w:lang w:val="lt-LT"/>
        </w:rPr>
        <w:t>imo teorija (angl. APT)</w:t>
      </w:r>
      <w:r w:rsidR="0082415B">
        <w:rPr>
          <w:rFonts w:ascii="Times New Roman" w:hAnsi="Times New Roman" w:cs="Times New Roman"/>
          <w:sz w:val="24"/>
          <w:szCs w:val="24"/>
          <w:lang w:val="lt-LT"/>
        </w:rPr>
        <w:t xml:space="preserve">  ir iš daugelių rodiklių atri</w:t>
      </w:r>
      <w:r w:rsidR="009A1B85" w:rsidRPr="00250273">
        <w:rPr>
          <w:rFonts w:ascii="Times New Roman" w:hAnsi="Times New Roman" w:cs="Times New Roman"/>
          <w:sz w:val="24"/>
          <w:szCs w:val="24"/>
          <w:lang w:val="lt-LT"/>
        </w:rPr>
        <w:t>kti svarbiausius</w:t>
      </w:r>
      <w:r w:rsidR="0014795B" w:rsidRPr="00250273">
        <w:rPr>
          <w:rFonts w:ascii="Times New Roman" w:hAnsi="Times New Roman" w:cs="Times New Roman"/>
          <w:sz w:val="24"/>
          <w:szCs w:val="24"/>
          <w:lang w:val="lt-LT"/>
        </w:rPr>
        <w:t>.</w:t>
      </w:r>
      <w:r w:rsidR="00923085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</w:p>
    <w:p w14:paraId="7736457E" w14:textId="657B9F8B" w:rsidR="00066340" w:rsidRPr="00250273" w:rsidRDefault="00923085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250273">
        <w:rPr>
          <w:rFonts w:ascii="Times New Roman" w:hAnsi="Times New Roman" w:cs="Times New Roman"/>
          <w:sz w:val="24"/>
          <w:szCs w:val="24"/>
          <w:lang w:val="lt-LT"/>
        </w:rPr>
        <w:t>Kylančiose rinkose</w:t>
      </w:r>
      <w:r w:rsidR="00066340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daug dažniau pasitaiko neteisingai</w:t>
      </w:r>
      <w:r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066340" w:rsidRPr="00250273">
        <w:rPr>
          <w:rFonts w:ascii="Times New Roman" w:hAnsi="Times New Roman" w:cs="Times New Roman"/>
          <w:sz w:val="24"/>
          <w:szCs w:val="24"/>
          <w:lang w:val="lt-LT"/>
        </w:rPr>
        <w:t>įkainotų finansini</w:t>
      </w:r>
      <w:r w:rsidRPr="00250273">
        <w:rPr>
          <w:rFonts w:ascii="Times New Roman" w:hAnsi="Times New Roman" w:cs="Times New Roman"/>
          <w:sz w:val="24"/>
          <w:szCs w:val="24"/>
          <w:lang w:val="lt-LT"/>
        </w:rPr>
        <w:t>r</w:t>
      </w:r>
      <w:r w:rsidR="00066340" w:rsidRPr="00250273">
        <w:rPr>
          <w:rFonts w:ascii="Times New Roman" w:hAnsi="Times New Roman" w:cs="Times New Roman"/>
          <w:sz w:val="24"/>
          <w:szCs w:val="24"/>
          <w:lang w:val="lt-LT"/>
        </w:rPr>
        <w:t>ų instrumen</w:t>
      </w:r>
      <w:r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tų nei išvystytose (efektyviose) </w:t>
      </w:r>
      <w:r w:rsidR="00066340" w:rsidRPr="00250273">
        <w:rPr>
          <w:rFonts w:ascii="Times New Roman" w:hAnsi="Times New Roman" w:cs="Times New Roman"/>
          <w:sz w:val="24"/>
          <w:szCs w:val="24"/>
          <w:lang w:val="lt-LT"/>
        </w:rPr>
        <w:t>rinkose.</w:t>
      </w:r>
      <w:r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Lietuvos rinką galime priskirti besivystančiosios rinkos kategorijai ir galbūt tyrimo išvadas, naudojant APT, galima bus praktiškai pritaikyti</w:t>
      </w:r>
      <w:r w:rsidR="0082415B">
        <w:rPr>
          <w:rFonts w:ascii="Times New Roman" w:hAnsi="Times New Roman" w:cs="Times New Roman"/>
          <w:sz w:val="24"/>
          <w:szCs w:val="24"/>
          <w:lang w:val="lt-LT"/>
        </w:rPr>
        <w:t xml:space="preserve"> pelningai</w:t>
      </w:r>
      <w:r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investuojant. </w:t>
      </w:r>
    </w:p>
    <w:p w14:paraId="264BB1AA" w14:textId="77777777" w:rsidR="00923085" w:rsidRPr="00250273" w:rsidRDefault="00923085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</w:p>
    <w:p w14:paraId="40EB9E33" w14:textId="77777777" w:rsidR="00923085" w:rsidRPr="00250273" w:rsidRDefault="00923085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</w:p>
    <w:p w14:paraId="1951C06C" w14:textId="5BFA4D11" w:rsidR="003E2003" w:rsidRPr="00250273" w:rsidRDefault="003E2003" w:rsidP="0021645D">
      <w:pPr>
        <w:pStyle w:val="NoSpacing"/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250273">
        <w:rPr>
          <w:rFonts w:ascii="Times New Roman" w:hAnsi="Times New Roman" w:cs="Times New Roman"/>
          <w:b/>
          <w:sz w:val="24"/>
          <w:szCs w:val="24"/>
          <w:lang w:val="lt-LT"/>
        </w:rPr>
        <w:t>Aktyvų įkainojimo teorija</w:t>
      </w:r>
      <w:r w:rsidR="00923085" w:rsidRPr="00250273">
        <w:rPr>
          <w:rFonts w:ascii="Times New Roman" w:hAnsi="Times New Roman" w:cs="Times New Roman"/>
          <w:b/>
          <w:sz w:val="24"/>
          <w:szCs w:val="24"/>
          <w:lang w:val="lt-LT"/>
        </w:rPr>
        <w:t xml:space="preserve"> (APT)</w:t>
      </w:r>
    </w:p>
    <w:p w14:paraId="61F58373" w14:textId="3453CD84" w:rsidR="0052185C" w:rsidRPr="00250273" w:rsidRDefault="00DF0A88" w:rsidP="00BF19D7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lt-LT"/>
        </w:rPr>
      </w:pPr>
      <w:r w:rsidRPr="00250273">
        <w:rPr>
          <w:rFonts w:ascii="Times New Roman" w:hAnsi="Times New Roman" w:cs="Times New Roman"/>
          <w:sz w:val="24"/>
          <w:szCs w:val="24"/>
          <w:lang w:val="lt-LT"/>
        </w:rPr>
        <w:t>CAPM pagrindu buvo kuriami ir tobulinami kiti aktyvų</w:t>
      </w:r>
      <w:r w:rsidR="00A37810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250273">
        <w:rPr>
          <w:rFonts w:ascii="Times New Roman" w:hAnsi="Times New Roman" w:cs="Times New Roman"/>
          <w:sz w:val="24"/>
          <w:szCs w:val="24"/>
          <w:lang w:val="lt-LT"/>
        </w:rPr>
        <w:t>įkainojimo modeliai, kurie</w:t>
      </w:r>
      <w:r w:rsidR="00D123D8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galėjo</w:t>
      </w:r>
      <w:r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turė</w:t>
      </w:r>
      <w:r w:rsidR="00D123D8" w:rsidRPr="00250273">
        <w:rPr>
          <w:rFonts w:ascii="Times New Roman" w:hAnsi="Times New Roman" w:cs="Times New Roman"/>
          <w:sz w:val="24"/>
          <w:szCs w:val="24"/>
          <w:lang w:val="lt-LT"/>
        </w:rPr>
        <w:t>ti mažiau</w:t>
      </w:r>
      <w:r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apribojimų</w:t>
      </w:r>
      <w:r w:rsidR="00D7045B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ir</w:t>
      </w:r>
      <w:r w:rsidR="00D123D8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prielaidų</w:t>
      </w:r>
      <w:r w:rsidR="00D7045B" w:rsidRPr="00250273">
        <w:rPr>
          <w:rFonts w:ascii="Times New Roman" w:hAnsi="Times New Roman" w:cs="Times New Roman"/>
          <w:sz w:val="24"/>
          <w:szCs w:val="24"/>
          <w:lang w:val="lt-LT"/>
        </w:rPr>
        <w:t>,</w:t>
      </w:r>
      <w:r w:rsidR="00A37810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D7045B" w:rsidRPr="00250273">
        <w:rPr>
          <w:rFonts w:ascii="Times New Roman" w:hAnsi="Times New Roman" w:cs="Times New Roman"/>
          <w:sz w:val="24"/>
          <w:szCs w:val="24"/>
          <w:lang w:val="lt-LT"/>
        </w:rPr>
        <w:t>taip pat</w:t>
      </w:r>
      <w:r w:rsidR="00D123D8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turėti</w:t>
      </w:r>
      <w:r w:rsidR="00D7045B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ir</w:t>
      </w:r>
      <w:r w:rsidR="006D3C20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daugiau įtakojančių rodiklių.</w:t>
      </w:r>
      <w:r w:rsidR="00D7045B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Vienas iš patobulintų CAPM</w:t>
      </w:r>
      <w:r w:rsidR="00D123D8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yra</w:t>
      </w:r>
      <w:r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APT. </w:t>
      </w:r>
      <w:r w:rsidR="00415E82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1966 m. atsirado pirmosios arbitražo įkainojimo </w:t>
      </w:r>
      <w:r w:rsidR="0052185C" w:rsidRPr="00250273">
        <w:rPr>
          <w:rFonts w:ascii="Times New Roman" w:hAnsi="Times New Roman" w:cs="Times New Roman"/>
          <w:sz w:val="24"/>
          <w:szCs w:val="24"/>
          <w:lang w:val="lt-LT"/>
        </w:rPr>
        <w:t>teorijos</w:t>
      </w:r>
    </w:p>
    <w:p w14:paraId="058D69A2" w14:textId="77777777" w:rsidR="0052185C" w:rsidRPr="00250273" w:rsidRDefault="00415E82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250273">
        <w:rPr>
          <w:rFonts w:ascii="Times New Roman" w:hAnsi="Times New Roman" w:cs="Times New Roman"/>
          <w:sz w:val="24"/>
          <w:szCs w:val="24"/>
          <w:lang w:val="lt-LT"/>
        </w:rPr>
        <w:lastRenderedPageBreak/>
        <w:t>idėjos, kai B. F. King</w:t>
      </w:r>
      <w:r w:rsidR="0052185C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250273">
        <w:rPr>
          <w:rFonts w:ascii="Times New Roman" w:hAnsi="Times New Roman" w:cs="Times New Roman"/>
          <w:sz w:val="24"/>
          <w:szCs w:val="24"/>
          <w:lang w:val="lt-LT"/>
        </w:rPr>
        <w:t>(1966) pradėjo finansinių aktyvų grąžos pokyčius aiškinti ekonominiais duomenimis. Tačiau</w:t>
      </w:r>
      <w:r w:rsidR="0052185C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250273">
        <w:rPr>
          <w:rFonts w:ascii="Times New Roman" w:hAnsi="Times New Roman" w:cs="Times New Roman"/>
          <w:sz w:val="24"/>
          <w:szCs w:val="24"/>
          <w:lang w:val="lt-LT"/>
        </w:rPr>
        <w:t>APT teorijos kūrėju yra laikomas S. A. Ross</w:t>
      </w:r>
      <w:r w:rsidR="0052185C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250273">
        <w:rPr>
          <w:rFonts w:ascii="Times New Roman" w:hAnsi="Times New Roman" w:cs="Times New Roman"/>
          <w:sz w:val="24"/>
          <w:szCs w:val="24"/>
          <w:lang w:val="lt-LT"/>
        </w:rPr>
        <w:t>(1976), kuris pateikė  teorijai reikiamas prielaidas ir matematiškai pagrindė koncepciją. Šios teorijos pagrindas yra</w:t>
      </w:r>
      <w:r w:rsidR="0052185C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250273">
        <w:rPr>
          <w:rFonts w:ascii="Times New Roman" w:hAnsi="Times New Roman" w:cs="Times New Roman"/>
          <w:sz w:val="24"/>
          <w:szCs w:val="24"/>
          <w:lang w:val="lt-LT"/>
        </w:rPr>
        <w:t>panašus, kaip ir CAPM, t. y. investuotojai reikalauja</w:t>
      </w:r>
      <w:r w:rsidR="0052185C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250273">
        <w:rPr>
          <w:rFonts w:ascii="Times New Roman" w:hAnsi="Times New Roman" w:cs="Times New Roman"/>
          <w:sz w:val="24"/>
          <w:szCs w:val="24"/>
          <w:lang w:val="lt-LT"/>
        </w:rPr>
        <w:t>rizikos premijos už nediversifikuotos (sisteminės) rizikos</w:t>
      </w:r>
      <w:r w:rsidR="0052185C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250273">
        <w:rPr>
          <w:rFonts w:ascii="Times New Roman" w:hAnsi="Times New Roman" w:cs="Times New Roman"/>
          <w:sz w:val="24"/>
          <w:szCs w:val="24"/>
          <w:lang w:val="lt-LT"/>
        </w:rPr>
        <w:t>prisisėmimą. Tačiau arbitražo įkainojimo teorijos</w:t>
      </w:r>
      <w:r w:rsidR="0052185C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pranašumas prieš CAPM yra tas, kad jį </w:t>
      </w:r>
      <w:r w:rsidR="0052185C" w:rsidRPr="00250273">
        <w:rPr>
          <w:rFonts w:ascii="Times New Roman" w:hAnsi="Times New Roman" w:cs="Times New Roman"/>
          <w:sz w:val="24"/>
          <w:szCs w:val="24"/>
          <w:lang w:val="lt-LT"/>
        </w:rPr>
        <w:t>g</w:t>
      </w:r>
      <w:r w:rsidRPr="00250273">
        <w:rPr>
          <w:rFonts w:ascii="Times New Roman" w:hAnsi="Times New Roman" w:cs="Times New Roman"/>
          <w:sz w:val="24"/>
          <w:szCs w:val="24"/>
          <w:lang w:val="lt-LT"/>
        </w:rPr>
        <w:t>alima tirti</w:t>
      </w:r>
      <w:r w:rsidR="0052185C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250273">
        <w:rPr>
          <w:rFonts w:ascii="Times New Roman" w:hAnsi="Times New Roman" w:cs="Times New Roman"/>
          <w:sz w:val="24"/>
          <w:szCs w:val="24"/>
          <w:lang w:val="lt-LT"/>
        </w:rPr>
        <w:t>empiriniu būdu . Taip pat APT prielaidos yra paprastesnės ir realistiškesnės.</w:t>
      </w:r>
      <w:r w:rsidR="0052185C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</w:p>
    <w:p w14:paraId="0B8A49B6" w14:textId="77777777" w:rsidR="0052185C" w:rsidRPr="00250273" w:rsidRDefault="0052185C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</w:p>
    <w:p w14:paraId="2B3E150E" w14:textId="1D1A0DA6" w:rsidR="00415E82" w:rsidRPr="00250273" w:rsidRDefault="00415E82" w:rsidP="0021645D">
      <w:pPr>
        <w:pStyle w:val="NoSpacing"/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250273">
        <w:rPr>
          <w:rFonts w:ascii="Times New Roman" w:hAnsi="Times New Roman" w:cs="Times New Roman"/>
          <w:b/>
          <w:sz w:val="24"/>
          <w:szCs w:val="24"/>
          <w:lang w:val="lt-LT"/>
        </w:rPr>
        <w:t>APT taikymo prielaidos:</w:t>
      </w:r>
    </w:p>
    <w:p w14:paraId="07BA8C83" w14:textId="7371EAA4" w:rsidR="00415E82" w:rsidRPr="00250273" w:rsidRDefault="003C5770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250273">
        <w:rPr>
          <w:rFonts w:ascii="Times New Roman" w:hAnsi="Times New Roman" w:cs="Times New Roman"/>
          <w:sz w:val="24"/>
          <w:szCs w:val="24"/>
          <w:lang w:val="lt-LT"/>
        </w:rPr>
        <w:t>1)</w:t>
      </w:r>
      <w:r w:rsidR="00415E82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finansų rinkos apibūdinamos kaip tobulos ir</w:t>
      </w:r>
    </w:p>
    <w:p w14:paraId="744383CB" w14:textId="5D240A71" w:rsidR="003C5770" w:rsidRPr="00250273" w:rsidRDefault="00415E82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250273">
        <w:rPr>
          <w:rFonts w:ascii="Times New Roman" w:hAnsi="Times New Roman" w:cs="Times New Roman"/>
          <w:sz w:val="24"/>
          <w:szCs w:val="24"/>
          <w:lang w:val="lt-LT"/>
        </w:rPr>
        <w:t>efektyvios;</w:t>
      </w:r>
    </w:p>
    <w:p w14:paraId="0020B7C9" w14:textId="61EAED2F" w:rsidR="00415E82" w:rsidRPr="00250273" w:rsidRDefault="003C5770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2) </w:t>
      </w:r>
      <w:r w:rsidR="00415E82" w:rsidRPr="00250273">
        <w:rPr>
          <w:rFonts w:ascii="Times New Roman" w:hAnsi="Times New Roman" w:cs="Times New Roman"/>
          <w:sz w:val="24"/>
          <w:szCs w:val="24"/>
          <w:lang w:val="lt-LT"/>
        </w:rPr>
        <w:t>apibrėžtumo atveju investuotojai visada teiks</w:t>
      </w:r>
    </w:p>
    <w:p w14:paraId="0C9A1DFC" w14:textId="0F7D1455" w:rsidR="003C5770" w:rsidRPr="00250273" w:rsidRDefault="00415E82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250273">
        <w:rPr>
          <w:rFonts w:ascii="Times New Roman" w:hAnsi="Times New Roman" w:cs="Times New Roman"/>
          <w:sz w:val="24"/>
          <w:szCs w:val="24"/>
          <w:lang w:val="lt-LT"/>
        </w:rPr>
        <w:t>pirmenybę didesnio pelningumo portfeliui;</w:t>
      </w:r>
    </w:p>
    <w:p w14:paraId="1D1824A9" w14:textId="270217F5" w:rsidR="00415E82" w:rsidRPr="00250273" w:rsidRDefault="003C5770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3) </w:t>
      </w:r>
      <w:r w:rsidR="00415E82" w:rsidRPr="00250273">
        <w:rPr>
          <w:rFonts w:ascii="Times New Roman" w:hAnsi="Times New Roman" w:cs="Times New Roman"/>
          <w:sz w:val="24"/>
          <w:szCs w:val="24"/>
          <w:lang w:val="lt-LT"/>
        </w:rPr>
        <w:t>egzistuoja tam tikros svarbios sisteminės rizikos,</w:t>
      </w:r>
    </w:p>
    <w:p w14:paraId="4243220D" w14:textId="77777777" w:rsidR="00415E82" w:rsidRPr="00250273" w:rsidRDefault="00415E82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250273">
        <w:rPr>
          <w:rFonts w:ascii="Times New Roman" w:hAnsi="Times New Roman" w:cs="Times New Roman"/>
          <w:sz w:val="24"/>
          <w:szCs w:val="24"/>
          <w:lang w:val="lt-LT"/>
        </w:rPr>
        <w:t>kurios tiesiškai veikia aktyvų pelningumą,</w:t>
      </w:r>
    </w:p>
    <w:p w14:paraId="247E2F4B" w14:textId="77777777" w:rsidR="00415E82" w:rsidRPr="00250273" w:rsidRDefault="00415E82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250273">
        <w:rPr>
          <w:rFonts w:ascii="Times New Roman" w:hAnsi="Times New Roman" w:cs="Times New Roman"/>
          <w:sz w:val="24"/>
          <w:szCs w:val="24"/>
          <w:lang w:val="lt-LT"/>
        </w:rPr>
        <w:t>t. y. aktyvų pelningumus generuojantį stochastinį</w:t>
      </w:r>
    </w:p>
    <w:p w14:paraId="17E914E2" w14:textId="77777777" w:rsidR="00415E82" w:rsidRPr="00250273" w:rsidRDefault="00415E82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250273">
        <w:rPr>
          <w:rFonts w:ascii="Times New Roman" w:hAnsi="Times New Roman" w:cs="Times New Roman"/>
          <w:sz w:val="24"/>
          <w:szCs w:val="24"/>
          <w:lang w:val="lt-LT"/>
        </w:rPr>
        <w:t>procesą galima išreikšti kaip n rizikos</w:t>
      </w:r>
    </w:p>
    <w:p w14:paraId="63D2E443" w14:textId="77777777" w:rsidR="00415E82" w:rsidRPr="00250273" w:rsidRDefault="00415E82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250273">
        <w:rPr>
          <w:rFonts w:ascii="Times New Roman" w:hAnsi="Times New Roman" w:cs="Times New Roman"/>
          <w:sz w:val="24"/>
          <w:szCs w:val="24"/>
          <w:lang w:val="lt-LT"/>
        </w:rPr>
        <w:t>faktorių ar indeksų tiesinę kombinaciją; be to,</w:t>
      </w:r>
    </w:p>
    <w:p w14:paraId="2C8BC717" w14:textId="77777777" w:rsidR="00415E82" w:rsidRPr="00250273" w:rsidRDefault="00415E82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250273">
        <w:rPr>
          <w:rFonts w:ascii="Times New Roman" w:hAnsi="Times New Roman" w:cs="Times New Roman"/>
          <w:sz w:val="24"/>
          <w:szCs w:val="24"/>
          <w:lang w:val="lt-LT"/>
        </w:rPr>
        <w:t>investuotojai tas rizikas suvokia ir gali įvertinti</w:t>
      </w:r>
    </w:p>
    <w:p w14:paraId="096194A7" w14:textId="35D4BB41" w:rsidR="00415E82" w:rsidRPr="00250273" w:rsidRDefault="00415E82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250273">
        <w:rPr>
          <w:rFonts w:ascii="Times New Roman" w:hAnsi="Times New Roman" w:cs="Times New Roman"/>
          <w:sz w:val="24"/>
          <w:szCs w:val="24"/>
          <w:lang w:val="lt-LT"/>
        </w:rPr>
        <w:t>aktyvo jautrumą toms rizikoms;</w:t>
      </w:r>
    </w:p>
    <w:p w14:paraId="63081CD9" w14:textId="35E955A6" w:rsidR="00415E82" w:rsidRPr="00250273" w:rsidRDefault="003C5770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250273">
        <w:rPr>
          <w:rFonts w:ascii="Times New Roman" w:hAnsi="Times New Roman" w:cs="Times New Roman"/>
          <w:sz w:val="24"/>
          <w:szCs w:val="24"/>
          <w:lang w:val="lt-LT"/>
        </w:rPr>
        <w:t>4)</w:t>
      </w:r>
      <w:r w:rsidR="00415E82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ekonomiko</w:t>
      </w:r>
      <w:r w:rsidRPr="00250273">
        <w:rPr>
          <w:rFonts w:ascii="Times New Roman" w:hAnsi="Times New Roman" w:cs="Times New Roman"/>
          <w:sz w:val="24"/>
          <w:szCs w:val="24"/>
          <w:lang w:val="lt-LT"/>
        </w:rPr>
        <w:t>je yra agresyvių investuotojų, kurie išnaudos aktyvų numatomų</w:t>
      </w:r>
    </w:p>
    <w:p w14:paraId="494798C2" w14:textId="77777777" w:rsidR="00415E82" w:rsidRPr="00250273" w:rsidRDefault="00415E82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250273">
        <w:rPr>
          <w:rFonts w:ascii="Times New Roman" w:hAnsi="Times New Roman" w:cs="Times New Roman"/>
          <w:sz w:val="24"/>
          <w:szCs w:val="24"/>
          <w:lang w:val="lt-LT"/>
        </w:rPr>
        <w:t>pelningumų skirtumus pasinaudodami</w:t>
      </w:r>
    </w:p>
    <w:p w14:paraId="5ABC21D7" w14:textId="77777777" w:rsidR="00415E82" w:rsidRPr="00250273" w:rsidRDefault="00415E82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250273">
        <w:rPr>
          <w:rFonts w:ascii="Times New Roman" w:hAnsi="Times New Roman" w:cs="Times New Roman"/>
          <w:sz w:val="24"/>
          <w:szCs w:val="24"/>
          <w:lang w:val="lt-LT"/>
        </w:rPr>
        <w:t>arbitražu.</w:t>
      </w:r>
    </w:p>
    <w:p w14:paraId="53877F92" w14:textId="77777777" w:rsidR="003C5770" w:rsidRPr="00250273" w:rsidRDefault="003C5770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</w:p>
    <w:p w14:paraId="1035DBB5" w14:textId="6B680EB4" w:rsidR="003C5770" w:rsidRPr="00250273" w:rsidRDefault="003C5770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250273">
        <w:rPr>
          <w:rFonts w:ascii="Times New Roman" w:hAnsi="Times New Roman" w:cs="Times New Roman"/>
          <w:sz w:val="24"/>
          <w:szCs w:val="24"/>
          <w:lang w:val="lt-LT"/>
        </w:rPr>
        <w:t>Šios prielaidos bus taikomos</w:t>
      </w:r>
      <w:r w:rsidR="00E12849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modelyje.</w:t>
      </w:r>
    </w:p>
    <w:p w14:paraId="79E8C84D" w14:textId="72F477C8" w:rsidR="00A37810" w:rsidRPr="00250273" w:rsidRDefault="006D3C20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2502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BB3CF4" wp14:editId="5687F17C">
            <wp:extent cx="2486969" cy="21812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104" cy="218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593D5" w14:textId="0DF8F929" w:rsidR="00A37810" w:rsidRPr="00250273" w:rsidRDefault="00A37810" w:rsidP="0021645D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val="lt-LT"/>
        </w:rPr>
      </w:pPr>
      <w:r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250273">
        <w:rPr>
          <w:rFonts w:ascii="Times New Roman" w:hAnsi="Times New Roman" w:cs="Times New Roman"/>
          <w:color w:val="000000"/>
          <w:sz w:val="24"/>
          <w:szCs w:val="24"/>
          <w:lang w:val="lt-LT"/>
        </w:rPr>
        <w:t xml:space="preserve">1 pav. </w:t>
      </w:r>
      <w:r w:rsidR="006D3C20" w:rsidRPr="00250273">
        <w:rPr>
          <w:rFonts w:ascii="Times New Roman" w:hAnsi="Times New Roman" w:cs="Times New Roman"/>
          <w:color w:val="000000"/>
          <w:sz w:val="24"/>
          <w:szCs w:val="24"/>
          <w:lang w:val="lt-LT"/>
        </w:rPr>
        <w:t xml:space="preserve">Juoda  tiese B yra </w:t>
      </w:r>
      <w:r w:rsidRPr="00250273">
        <w:rPr>
          <w:rFonts w:ascii="Times New Roman" w:hAnsi="Times New Roman" w:cs="Times New Roman"/>
          <w:i/>
          <w:iCs/>
          <w:color w:val="231F20"/>
          <w:sz w:val="24"/>
          <w:szCs w:val="24"/>
          <w:lang w:val="lt-LT"/>
        </w:rPr>
        <w:t xml:space="preserve">S&amp;P 500 </w:t>
      </w:r>
      <w:r w:rsidR="006D3C20" w:rsidRPr="00250273">
        <w:rPr>
          <w:rFonts w:ascii="Times New Roman" w:hAnsi="Times New Roman" w:cs="Times New Roman"/>
          <w:i/>
          <w:iCs/>
          <w:color w:val="231F20"/>
          <w:sz w:val="24"/>
          <w:szCs w:val="24"/>
          <w:lang w:val="lt-LT"/>
        </w:rPr>
        <w:t xml:space="preserve"> </w:t>
      </w:r>
      <w:r w:rsidRPr="00250273">
        <w:rPr>
          <w:rFonts w:ascii="Times New Roman" w:hAnsi="Times New Roman" w:cs="Times New Roman"/>
          <w:color w:val="000000"/>
          <w:sz w:val="24"/>
          <w:szCs w:val="24"/>
          <w:lang w:val="lt-LT"/>
        </w:rPr>
        <w:t>indekso vertybinių</w:t>
      </w:r>
    </w:p>
    <w:p w14:paraId="78E554C0" w14:textId="37076AE1" w:rsidR="00A37810" w:rsidRPr="00250273" w:rsidRDefault="00A37810" w:rsidP="0021645D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val="lt-LT"/>
        </w:rPr>
      </w:pPr>
      <w:r w:rsidRPr="00250273">
        <w:rPr>
          <w:rFonts w:ascii="Times New Roman" w:hAnsi="Times New Roman" w:cs="Times New Roman"/>
          <w:color w:val="000000"/>
          <w:sz w:val="24"/>
          <w:szCs w:val="24"/>
          <w:lang w:val="lt-LT"/>
        </w:rPr>
        <w:t>popierių rinkos tiesė (SML)</w:t>
      </w:r>
      <w:r w:rsidR="006D3C20" w:rsidRPr="00250273">
        <w:rPr>
          <w:rFonts w:ascii="Times New Roman" w:hAnsi="Times New Roman" w:cs="Times New Roman"/>
          <w:color w:val="000000"/>
          <w:sz w:val="24"/>
          <w:szCs w:val="24"/>
          <w:lang w:val="lt-LT"/>
        </w:rPr>
        <w:t>, taškas</w:t>
      </w:r>
      <w:r w:rsidRPr="00250273">
        <w:rPr>
          <w:rFonts w:ascii="Times New Roman" w:hAnsi="Times New Roman" w:cs="Times New Roman"/>
          <w:color w:val="000000"/>
          <w:sz w:val="24"/>
          <w:szCs w:val="24"/>
          <w:lang w:val="lt-LT"/>
        </w:rPr>
        <w:t xml:space="preserve"> A</w:t>
      </w:r>
      <w:r w:rsidR="006D3C20" w:rsidRPr="00250273">
        <w:rPr>
          <w:rFonts w:ascii="Times New Roman" w:hAnsi="Times New Roman" w:cs="Times New Roman"/>
          <w:color w:val="000000"/>
          <w:sz w:val="24"/>
          <w:szCs w:val="24"/>
          <w:lang w:val="lt-LT"/>
        </w:rPr>
        <w:t xml:space="preserve"> yra portfelis</w:t>
      </w:r>
      <w:r w:rsidRPr="00250273">
        <w:rPr>
          <w:rFonts w:ascii="Times New Roman" w:hAnsi="Times New Roman" w:cs="Times New Roman"/>
          <w:color w:val="000000"/>
          <w:sz w:val="24"/>
          <w:szCs w:val="24"/>
          <w:lang w:val="lt-LT"/>
        </w:rPr>
        <w:t>, kuris yra</w:t>
      </w:r>
    </w:p>
    <w:p w14:paraId="10F14C0E" w14:textId="77777777" w:rsidR="00A37810" w:rsidRPr="00250273" w:rsidRDefault="00A37810" w:rsidP="0021645D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val="lt-LT"/>
        </w:rPr>
      </w:pPr>
      <w:r w:rsidRPr="00250273">
        <w:rPr>
          <w:rFonts w:ascii="Times New Roman" w:hAnsi="Times New Roman" w:cs="Times New Roman"/>
          <w:color w:val="000000"/>
          <w:sz w:val="24"/>
          <w:szCs w:val="24"/>
          <w:lang w:val="lt-LT"/>
        </w:rPr>
        <w:t>aukščiau tiesės. Kai rinka pasiekusi pusiausvyrą,</w:t>
      </w:r>
    </w:p>
    <w:p w14:paraId="13FF63C5" w14:textId="77777777" w:rsidR="00A37810" w:rsidRPr="00250273" w:rsidRDefault="00A37810" w:rsidP="0021645D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val="lt-LT"/>
        </w:rPr>
      </w:pPr>
      <w:r w:rsidRPr="00250273">
        <w:rPr>
          <w:rFonts w:ascii="Times New Roman" w:hAnsi="Times New Roman" w:cs="Times New Roman"/>
          <w:color w:val="000000"/>
          <w:sz w:val="24"/>
          <w:szCs w:val="24"/>
          <w:lang w:val="lt-LT"/>
        </w:rPr>
        <w:t>remiantis CAPM tokia situacija neįmanoma, nes</w:t>
      </w:r>
    </w:p>
    <w:p w14:paraId="47A33643" w14:textId="77777777" w:rsidR="00A37810" w:rsidRPr="00250273" w:rsidRDefault="00A37810" w:rsidP="0021645D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val="lt-LT"/>
        </w:rPr>
      </w:pPr>
      <w:r w:rsidRPr="00250273">
        <w:rPr>
          <w:rFonts w:ascii="Times New Roman" w:hAnsi="Times New Roman" w:cs="Times New Roman"/>
          <w:color w:val="000000"/>
          <w:sz w:val="24"/>
          <w:szCs w:val="24"/>
          <w:lang w:val="lt-LT"/>
        </w:rPr>
        <w:t>galimas tik vienas visiems prieinamas optimalus</w:t>
      </w:r>
    </w:p>
    <w:p w14:paraId="1502A2FA" w14:textId="4745436B" w:rsidR="00896B23" w:rsidRPr="00250273" w:rsidRDefault="00A37810" w:rsidP="0021645D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val="lt-LT"/>
        </w:rPr>
      </w:pPr>
      <w:r w:rsidRPr="00250273">
        <w:rPr>
          <w:rFonts w:ascii="Times New Roman" w:hAnsi="Times New Roman" w:cs="Times New Roman"/>
          <w:color w:val="000000"/>
          <w:sz w:val="24"/>
          <w:szCs w:val="24"/>
          <w:lang w:val="lt-LT"/>
        </w:rPr>
        <w:t>port</w:t>
      </w:r>
      <w:r w:rsidR="004D49C3" w:rsidRPr="00250273">
        <w:rPr>
          <w:rFonts w:ascii="Times New Roman" w:hAnsi="Times New Roman" w:cs="Times New Roman"/>
          <w:color w:val="000000"/>
          <w:sz w:val="24"/>
          <w:szCs w:val="24"/>
          <w:lang w:val="lt-LT"/>
        </w:rPr>
        <w:t>felis. Tačiau</w:t>
      </w:r>
      <w:r w:rsidR="00B17064" w:rsidRPr="00250273">
        <w:rPr>
          <w:rFonts w:ascii="Times New Roman" w:hAnsi="Times New Roman" w:cs="Times New Roman"/>
          <w:color w:val="000000"/>
          <w:sz w:val="24"/>
          <w:szCs w:val="24"/>
          <w:lang w:val="lt-LT"/>
        </w:rPr>
        <w:t xml:space="preserve"> </w:t>
      </w:r>
      <w:r w:rsidR="00415E82" w:rsidRPr="00250273">
        <w:rPr>
          <w:rFonts w:ascii="Times New Roman" w:hAnsi="Times New Roman" w:cs="Times New Roman"/>
          <w:color w:val="000000"/>
          <w:sz w:val="24"/>
          <w:szCs w:val="24"/>
          <w:lang w:val="lt-LT"/>
        </w:rPr>
        <w:t>pavaizduota</w:t>
      </w:r>
      <w:r w:rsidR="004D49C3" w:rsidRPr="00250273">
        <w:rPr>
          <w:rFonts w:ascii="Times New Roman" w:hAnsi="Times New Roman" w:cs="Times New Roman"/>
          <w:color w:val="000000"/>
          <w:sz w:val="24"/>
          <w:szCs w:val="24"/>
          <w:lang w:val="lt-LT"/>
        </w:rPr>
        <w:t xml:space="preserve"> situacija</w:t>
      </w:r>
      <w:r w:rsidR="00415E82" w:rsidRPr="00250273">
        <w:rPr>
          <w:rFonts w:ascii="Times New Roman" w:hAnsi="Times New Roman" w:cs="Times New Roman"/>
          <w:color w:val="000000"/>
          <w:sz w:val="24"/>
          <w:szCs w:val="24"/>
          <w:lang w:val="lt-LT"/>
        </w:rPr>
        <w:t xml:space="preserve"> yra</w:t>
      </w:r>
      <w:r w:rsidR="0021645D" w:rsidRPr="00250273">
        <w:rPr>
          <w:rFonts w:ascii="Times New Roman" w:hAnsi="Times New Roman" w:cs="Times New Roman"/>
          <w:color w:val="000000"/>
          <w:sz w:val="24"/>
          <w:szCs w:val="24"/>
          <w:lang w:val="lt-LT"/>
        </w:rPr>
        <w:t xml:space="preserve"> praktiškai</w:t>
      </w:r>
      <w:r w:rsidR="00415E82" w:rsidRPr="00250273">
        <w:rPr>
          <w:rFonts w:ascii="Times New Roman" w:hAnsi="Times New Roman" w:cs="Times New Roman"/>
          <w:color w:val="000000"/>
          <w:sz w:val="24"/>
          <w:szCs w:val="24"/>
          <w:lang w:val="lt-LT"/>
        </w:rPr>
        <w:t xml:space="preserve"> galima</w:t>
      </w:r>
      <w:r w:rsidR="0021645D" w:rsidRPr="00250273">
        <w:rPr>
          <w:rFonts w:ascii="Times New Roman" w:hAnsi="Times New Roman" w:cs="Times New Roman"/>
          <w:color w:val="000000"/>
          <w:sz w:val="24"/>
          <w:szCs w:val="24"/>
          <w:lang w:val="lt-LT"/>
        </w:rPr>
        <w:t>..</w:t>
      </w:r>
      <w:r w:rsidR="004D49C3" w:rsidRPr="00250273">
        <w:rPr>
          <w:rFonts w:ascii="Times New Roman" w:hAnsi="Times New Roman" w:cs="Times New Roman"/>
          <w:color w:val="000000"/>
          <w:sz w:val="24"/>
          <w:szCs w:val="24"/>
          <w:lang w:val="lt-LT"/>
        </w:rPr>
        <w:t xml:space="preserve"> A portfelio grąžos vidurkis gali būti didesnis nei SML grąžos vidurkis </w:t>
      </w:r>
      <w:r w:rsidR="00B17064" w:rsidRPr="00250273">
        <w:rPr>
          <w:rFonts w:ascii="Times New Roman" w:hAnsi="Times New Roman" w:cs="Times New Roman"/>
          <w:color w:val="000000"/>
          <w:sz w:val="24"/>
          <w:szCs w:val="24"/>
          <w:lang w:val="lt-LT"/>
        </w:rPr>
        <w:t>fiksuotam Beta dydžiui.</w:t>
      </w:r>
    </w:p>
    <w:p w14:paraId="4043A63C" w14:textId="77777777" w:rsidR="00896B23" w:rsidRPr="00250273" w:rsidRDefault="00896B23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</w:p>
    <w:p w14:paraId="2237D82C" w14:textId="743A1729" w:rsidR="0021645D" w:rsidRPr="00250273" w:rsidRDefault="00415E82" w:rsidP="00BF19D7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lt-LT"/>
        </w:rPr>
      </w:pPr>
      <w:r w:rsidRPr="00250273">
        <w:rPr>
          <w:rFonts w:ascii="Times New Roman" w:hAnsi="Times New Roman" w:cs="Times New Roman"/>
          <w:sz w:val="24"/>
          <w:szCs w:val="24"/>
          <w:lang w:val="lt-LT"/>
        </w:rPr>
        <w:t>Šis aktyvų įkainojimo modelis yra grindžiamas</w:t>
      </w:r>
      <w:r w:rsidR="0052185C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tuo, jog aktyvo pelningumą galima numatyti </w:t>
      </w:r>
      <w:r w:rsidR="0052185C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n</w:t>
      </w:r>
      <w:r w:rsidRPr="00250273">
        <w:rPr>
          <w:rFonts w:ascii="Times New Roman" w:hAnsi="Times New Roman" w:cs="Times New Roman"/>
          <w:sz w:val="24"/>
          <w:szCs w:val="24"/>
          <w:lang w:val="lt-LT"/>
        </w:rPr>
        <w:t>audojant</w:t>
      </w:r>
      <w:r w:rsidR="0052185C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250273">
        <w:rPr>
          <w:rFonts w:ascii="Times New Roman" w:hAnsi="Times New Roman" w:cs="Times New Roman"/>
          <w:sz w:val="24"/>
          <w:szCs w:val="24"/>
          <w:lang w:val="lt-LT"/>
        </w:rPr>
        <w:t>analizuojamo aktyvo ir daugelio įprastų rizikos</w:t>
      </w:r>
      <w:r w:rsidR="006F014C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bookmarkStart w:id="2" w:name="_GoBack"/>
      <w:bookmarkEnd w:id="2"/>
      <w:r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faktorių tarpusavio ryšį. </w:t>
      </w:r>
      <w:r w:rsidRPr="00250273">
        <w:rPr>
          <w:rFonts w:ascii="Times New Roman" w:hAnsi="Times New Roman" w:cs="Times New Roman"/>
          <w:sz w:val="24"/>
          <w:szCs w:val="24"/>
          <w:lang w:val="lt-LT"/>
        </w:rPr>
        <w:lastRenderedPageBreak/>
        <w:t xml:space="preserve">Sukurta S. </w:t>
      </w:r>
      <w:r w:rsidR="0052185C" w:rsidRPr="00250273">
        <w:rPr>
          <w:rFonts w:ascii="Times New Roman" w:hAnsi="Times New Roman" w:cs="Times New Roman"/>
          <w:sz w:val="24"/>
          <w:szCs w:val="24"/>
          <w:lang w:val="lt-LT"/>
        </w:rPr>
        <w:t>R</w:t>
      </w:r>
      <w:r w:rsidRPr="00250273">
        <w:rPr>
          <w:rFonts w:ascii="Times New Roman" w:hAnsi="Times New Roman" w:cs="Times New Roman"/>
          <w:sz w:val="24"/>
          <w:szCs w:val="24"/>
          <w:lang w:val="lt-LT"/>
        </w:rPr>
        <w:t>oss (1976) arbitražo</w:t>
      </w:r>
      <w:r w:rsidR="0052185C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250273">
        <w:rPr>
          <w:rFonts w:ascii="Times New Roman" w:hAnsi="Times New Roman" w:cs="Times New Roman"/>
          <w:sz w:val="24"/>
          <w:szCs w:val="24"/>
          <w:lang w:val="lt-LT"/>
        </w:rPr>
        <w:t>įkainojimo teorija numato ryšį tarp atskiro</w:t>
      </w:r>
      <w:r w:rsidR="0052185C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250273">
        <w:rPr>
          <w:rFonts w:ascii="Times New Roman" w:hAnsi="Times New Roman" w:cs="Times New Roman"/>
          <w:sz w:val="24"/>
          <w:szCs w:val="24"/>
          <w:lang w:val="lt-LT"/>
        </w:rPr>
        <w:t>aktyvo pelningumo ir portfelio pelningumo pasitel</w:t>
      </w:r>
      <w:r w:rsidR="0021645D" w:rsidRPr="00250273">
        <w:rPr>
          <w:rFonts w:ascii="Times New Roman" w:hAnsi="Times New Roman" w:cs="Times New Roman"/>
          <w:sz w:val="24"/>
          <w:szCs w:val="24"/>
          <w:lang w:val="lt-LT"/>
        </w:rPr>
        <w:t>kiant daugelio nepriklausomų kintamųjų (makroekonominių</w:t>
      </w:r>
      <w:r w:rsidR="0052185C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21645D" w:rsidRPr="00250273">
        <w:rPr>
          <w:rFonts w:ascii="Times New Roman" w:hAnsi="Times New Roman" w:cs="Times New Roman"/>
          <w:sz w:val="24"/>
          <w:szCs w:val="24"/>
          <w:lang w:val="lt-LT"/>
        </w:rPr>
        <w:t>faktorių, tokių kaip infliacija, ekonomikos</w:t>
      </w:r>
      <w:r w:rsidR="0052185C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21645D" w:rsidRPr="00250273">
        <w:rPr>
          <w:rFonts w:ascii="Times New Roman" w:hAnsi="Times New Roman" w:cs="Times New Roman"/>
          <w:sz w:val="24"/>
          <w:szCs w:val="24"/>
          <w:lang w:val="lt-LT"/>
        </w:rPr>
        <w:t>augimas, tarptautinės gamybos apimtis, palūkanų</w:t>
      </w:r>
      <w:r w:rsidR="0052185C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normos ir t.t</w:t>
      </w:r>
      <w:r w:rsidR="0021645D" w:rsidRPr="00250273">
        <w:rPr>
          <w:rFonts w:ascii="Times New Roman" w:hAnsi="Times New Roman" w:cs="Times New Roman"/>
          <w:sz w:val="24"/>
          <w:szCs w:val="24"/>
          <w:lang w:val="lt-LT"/>
        </w:rPr>
        <w:t>.) tiesinę kombinaciją. APT paaiškina</w:t>
      </w:r>
      <w:r w:rsidR="00BF19D7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21645D" w:rsidRPr="00250273">
        <w:rPr>
          <w:rFonts w:ascii="Times New Roman" w:hAnsi="Times New Roman" w:cs="Times New Roman"/>
          <w:sz w:val="24"/>
          <w:szCs w:val="24"/>
          <w:lang w:val="lt-LT"/>
        </w:rPr>
        <w:t>aktyvo kainą, kai tikėta, kad aktyvas yra neteisingai</w:t>
      </w:r>
      <w:r w:rsidR="00BF19D7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21645D" w:rsidRPr="00250273">
        <w:rPr>
          <w:rFonts w:ascii="Times New Roman" w:hAnsi="Times New Roman" w:cs="Times New Roman"/>
          <w:sz w:val="24"/>
          <w:szCs w:val="24"/>
          <w:lang w:val="lt-LT"/>
        </w:rPr>
        <w:t>įkainotas. Tuo tikslu naudojami rizikingo aktyvo pelningumas</w:t>
      </w:r>
      <w:r w:rsidR="00BF19D7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21645D" w:rsidRPr="00250273">
        <w:rPr>
          <w:rFonts w:ascii="Times New Roman" w:hAnsi="Times New Roman" w:cs="Times New Roman"/>
          <w:sz w:val="24"/>
          <w:szCs w:val="24"/>
          <w:lang w:val="lt-LT"/>
        </w:rPr>
        <w:t>ir keleto makroekonominių faktorių rizikos</w:t>
      </w:r>
      <w:r w:rsidR="00BF19D7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21645D" w:rsidRPr="00250273">
        <w:rPr>
          <w:rFonts w:ascii="Times New Roman" w:hAnsi="Times New Roman" w:cs="Times New Roman"/>
          <w:sz w:val="24"/>
          <w:szCs w:val="24"/>
          <w:lang w:val="lt-LT"/>
        </w:rPr>
        <w:t>premijos. Taigi investuotojai pasitelkia šią įkainojimo</w:t>
      </w:r>
      <w:r w:rsidR="00BF19D7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21645D" w:rsidRPr="00250273">
        <w:rPr>
          <w:rFonts w:ascii="Times New Roman" w:hAnsi="Times New Roman" w:cs="Times New Roman"/>
          <w:sz w:val="24"/>
          <w:szCs w:val="24"/>
          <w:lang w:val="lt-LT"/>
        </w:rPr>
        <w:t>teoriją, siekdami pasipelnyti iš neteisingai įvertintų</w:t>
      </w:r>
      <w:r w:rsidR="00BF19D7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21645D" w:rsidRPr="00250273">
        <w:rPr>
          <w:rFonts w:ascii="Times New Roman" w:hAnsi="Times New Roman" w:cs="Times New Roman"/>
          <w:sz w:val="24"/>
          <w:szCs w:val="24"/>
          <w:lang w:val="lt-LT"/>
        </w:rPr>
        <w:t>(dažniausiai nepakankamai įvertintų) aktyvų. Tačiau</w:t>
      </w:r>
    </w:p>
    <w:p w14:paraId="1492817E" w14:textId="0F50D10B" w:rsidR="0021645D" w:rsidRPr="00250273" w:rsidRDefault="0021645D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250273">
        <w:rPr>
          <w:rFonts w:ascii="Times New Roman" w:hAnsi="Times New Roman" w:cs="Times New Roman"/>
          <w:sz w:val="24"/>
          <w:szCs w:val="24"/>
          <w:lang w:val="lt-LT"/>
        </w:rPr>
        <w:t>neteisingai įkainoto aktyvo kaina skirsis nuo tos, kuri</w:t>
      </w:r>
      <w:r w:rsidR="00BF19D7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250273">
        <w:rPr>
          <w:rFonts w:ascii="Times New Roman" w:hAnsi="Times New Roman" w:cs="Times New Roman"/>
          <w:sz w:val="24"/>
          <w:szCs w:val="24"/>
          <w:lang w:val="lt-LT"/>
        </w:rPr>
        <w:t>nustatoma šio modelio dėka. Tokiu būdu investuotojai,</w:t>
      </w:r>
      <w:r w:rsidR="00BF19D7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250273">
        <w:rPr>
          <w:rFonts w:ascii="Times New Roman" w:hAnsi="Times New Roman" w:cs="Times New Roman"/>
          <w:sz w:val="24"/>
          <w:szCs w:val="24"/>
          <w:lang w:val="lt-LT"/>
        </w:rPr>
        <w:t>norintys pasinaudoti arbitražu ir gauti faktiškai</w:t>
      </w:r>
      <w:r w:rsidR="00BF19D7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250273">
        <w:rPr>
          <w:rFonts w:ascii="Times New Roman" w:hAnsi="Times New Roman" w:cs="Times New Roman"/>
          <w:sz w:val="24"/>
          <w:szCs w:val="24"/>
          <w:lang w:val="lt-LT"/>
        </w:rPr>
        <w:t>nerizikingą pelną, sieks palaikyti trumpas pervertinto</w:t>
      </w:r>
      <w:r w:rsidR="00BF19D7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250273">
        <w:rPr>
          <w:rFonts w:ascii="Times New Roman" w:hAnsi="Times New Roman" w:cs="Times New Roman"/>
          <w:sz w:val="24"/>
          <w:szCs w:val="24"/>
          <w:lang w:val="lt-LT"/>
        </w:rPr>
        <w:t>aktyvo pozicijas ir kartu laikyti ilgas portfelio (kurio</w:t>
      </w:r>
    </w:p>
    <w:p w14:paraId="5EE8E0C0" w14:textId="0A191040" w:rsidR="00D72F83" w:rsidRPr="00250273" w:rsidRDefault="0021645D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250273">
        <w:rPr>
          <w:rFonts w:ascii="Times New Roman" w:hAnsi="Times New Roman" w:cs="Times New Roman"/>
          <w:sz w:val="24"/>
          <w:szCs w:val="24"/>
          <w:lang w:val="lt-LT"/>
        </w:rPr>
        <w:t>pagrindu yra atliekami APT skaičiavimai) pozicijas.</w:t>
      </w:r>
    </w:p>
    <w:p w14:paraId="2A840605" w14:textId="0D978D6C" w:rsidR="003C5770" w:rsidRPr="00250273" w:rsidRDefault="00D72F83" w:rsidP="00BF19D7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lt-LT"/>
        </w:rPr>
      </w:pPr>
      <w:r w:rsidRPr="00250273">
        <w:rPr>
          <w:rFonts w:ascii="Times New Roman" w:hAnsi="Times New Roman" w:cs="Times New Roman"/>
          <w:sz w:val="24"/>
          <w:szCs w:val="24"/>
          <w:lang w:val="lt-LT"/>
        </w:rPr>
        <w:t>Jei APT prielaidos patenkinamos, tuomet laukiami</w:t>
      </w:r>
      <w:r w:rsidR="00BF19D7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250273">
        <w:rPr>
          <w:rFonts w:ascii="Times New Roman" w:hAnsi="Times New Roman" w:cs="Times New Roman"/>
          <w:sz w:val="24"/>
          <w:szCs w:val="24"/>
          <w:lang w:val="lt-LT"/>
        </w:rPr>
        <w:t>pelningumai bus išsidėstę arti SML, o aktyvas turės</w:t>
      </w:r>
      <w:r w:rsidR="00BF19D7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250273">
        <w:rPr>
          <w:rFonts w:ascii="Times New Roman" w:hAnsi="Times New Roman" w:cs="Times New Roman"/>
          <w:sz w:val="24"/>
          <w:szCs w:val="24"/>
          <w:lang w:val="lt-LT"/>
        </w:rPr>
        <w:t>tiek rizikos charakteristikų, kiek yra faktorių. APT teorijos</w:t>
      </w:r>
      <w:r w:rsidR="00BF19D7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250273">
        <w:rPr>
          <w:rFonts w:ascii="Times New Roman" w:hAnsi="Times New Roman" w:cs="Times New Roman"/>
          <w:sz w:val="24"/>
          <w:szCs w:val="24"/>
          <w:lang w:val="lt-LT"/>
        </w:rPr>
        <w:t>prielaidos yra artimesnės realybei, nes ne visi</w:t>
      </w:r>
      <w:r w:rsidR="00BF19D7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250273">
        <w:rPr>
          <w:rFonts w:ascii="Times New Roman" w:hAnsi="Times New Roman" w:cs="Times New Roman"/>
          <w:sz w:val="24"/>
          <w:szCs w:val="24"/>
          <w:lang w:val="lt-LT"/>
        </w:rPr>
        <w:t>investuotojai elgiasi vienodai rinkoje, net jei jų elgsena</w:t>
      </w:r>
      <w:r w:rsidR="00BF19D7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250273">
        <w:rPr>
          <w:rFonts w:ascii="Times New Roman" w:hAnsi="Times New Roman" w:cs="Times New Roman"/>
          <w:sz w:val="24"/>
          <w:szCs w:val="24"/>
          <w:lang w:val="lt-LT"/>
        </w:rPr>
        <w:t>grindžiama racionalumu, t. y. APT nereikalauja</w:t>
      </w:r>
      <w:r w:rsidR="00BF19D7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250273">
        <w:rPr>
          <w:rFonts w:ascii="Times New Roman" w:hAnsi="Times New Roman" w:cs="Times New Roman"/>
          <w:sz w:val="24"/>
          <w:szCs w:val="24"/>
          <w:lang w:val="lt-LT"/>
        </w:rPr>
        <w:t>CAPM prielaidų tenkinimo dėl investuotojų naudingumo</w:t>
      </w:r>
      <w:r w:rsidR="00BF19D7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250273">
        <w:rPr>
          <w:rFonts w:ascii="Times New Roman" w:hAnsi="Times New Roman" w:cs="Times New Roman"/>
          <w:sz w:val="24"/>
          <w:szCs w:val="24"/>
          <w:lang w:val="lt-LT"/>
        </w:rPr>
        <w:t>funkcijų. Be to, ne kiekvienas investuotojas yra</w:t>
      </w:r>
      <w:r w:rsidR="00BF19D7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250273">
        <w:rPr>
          <w:rFonts w:ascii="Times New Roman" w:hAnsi="Times New Roman" w:cs="Times New Roman"/>
          <w:sz w:val="24"/>
          <w:szCs w:val="24"/>
          <w:lang w:val="lt-LT"/>
        </w:rPr>
        <w:t>linkęs turėti rinkos portfelį kaip vienintelę alternatyvą,</w:t>
      </w:r>
      <w:r w:rsidR="00BF19D7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250273">
        <w:rPr>
          <w:rFonts w:ascii="Times New Roman" w:hAnsi="Times New Roman" w:cs="Times New Roman"/>
          <w:sz w:val="24"/>
          <w:szCs w:val="24"/>
          <w:lang w:val="lt-LT"/>
        </w:rPr>
        <w:t>t. y. APT nereikalauja CAPM prielaidos tenkinimo</w:t>
      </w:r>
      <w:r w:rsidR="00BF19D7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250273">
        <w:rPr>
          <w:rFonts w:ascii="Times New Roman" w:hAnsi="Times New Roman" w:cs="Times New Roman"/>
          <w:sz w:val="24"/>
          <w:szCs w:val="24"/>
          <w:lang w:val="lt-LT"/>
        </w:rPr>
        <w:t>dėl rinkos portfelio savybių (kad jis apima visus</w:t>
      </w:r>
      <w:r w:rsidR="00BF19D7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250273">
        <w:rPr>
          <w:rFonts w:ascii="Times New Roman" w:hAnsi="Times New Roman" w:cs="Times New Roman"/>
          <w:sz w:val="24"/>
          <w:szCs w:val="24"/>
          <w:lang w:val="lt-LT"/>
        </w:rPr>
        <w:t>rizikingus aktyvus ir yra efektyvus vidurkio-dispersijos</w:t>
      </w:r>
      <w:r w:rsidR="00BF19D7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250273">
        <w:rPr>
          <w:rFonts w:ascii="Times New Roman" w:hAnsi="Times New Roman" w:cs="Times New Roman"/>
          <w:sz w:val="24"/>
          <w:szCs w:val="24"/>
          <w:lang w:val="lt-LT"/>
        </w:rPr>
        <w:t>prasme). Juk rinkoje yra ir kitų rizikingų aktyvų,</w:t>
      </w:r>
      <w:r w:rsidR="00BF19D7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t. y. kapitalo rinkose daug agresyvių investuotojų. </w:t>
      </w:r>
      <w:r w:rsidR="00BF19D7" w:rsidRPr="00250273">
        <w:rPr>
          <w:rFonts w:ascii="Times New Roman" w:hAnsi="Times New Roman" w:cs="Times New Roman"/>
          <w:sz w:val="24"/>
          <w:szCs w:val="24"/>
          <w:lang w:val="lt-LT"/>
        </w:rPr>
        <w:t>Š</w:t>
      </w:r>
      <w:r w:rsidRPr="00250273">
        <w:rPr>
          <w:rFonts w:ascii="Times New Roman" w:hAnsi="Times New Roman" w:cs="Times New Roman"/>
          <w:sz w:val="24"/>
          <w:szCs w:val="24"/>
          <w:lang w:val="lt-LT"/>
        </w:rPr>
        <w:t>i</w:t>
      </w:r>
      <w:r w:rsidR="00BF19D7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250273">
        <w:rPr>
          <w:rFonts w:ascii="Times New Roman" w:hAnsi="Times New Roman" w:cs="Times New Roman"/>
          <w:sz w:val="24"/>
          <w:szCs w:val="24"/>
          <w:lang w:val="lt-LT"/>
        </w:rPr>
        <w:t>prielaida patvirtinama 1 pav. duomenimis.</w:t>
      </w:r>
    </w:p>
    <w:p w14:paraId="25E7BEBE" w14:textId="2221E928" w:rsidR="003C5770" w:rsidRPr="00250273" w:rsidRDefault="001E6035" w:rsidP="00BF19D7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lt-LT"/>
        </w:rPr>
      </w:pPr>
      <w:r w:rsidRPr="00250273">
        <w:rPr>
          <w:rFonts w:ascii="Times New Roman" w:hAnsi="Times New Roman" w:cs="Times New Roman"/>
          <w:sz w:val="24"/>
          <w:szCs w:val="24"/>
          <w:lang w:val="lt-LT"/>
        </w:rPr>
        <w:t>Naudodami Lietuvos makro</w:t>
      </w:r>
      <w:r w:rsidR="0021645D" w:rsidRPr="0025027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250273">
        <w:rPr>
          <w:rFonts w:ascii="Times New Roman" w:hAnsi="Times New Roman" w:cs="Times New Roman"/>
          <w:sz w:val="24"/>
          <w:szCs w:val="24"/>
          <w:lang w:val="lt-LT"/>
        </w:rPr>
        <w:t>duomenis, matuojame  rizikos pemijas, kurias gauname už riziką investuojant Lietuvos rinkoje. Makroduomenys iliustruoja Lietuvos ekonominę būklę.</w:t>
      </w:r>
    </w:p>
    <w:sectPr w:rsidR="003C5770" w:rsidRPr="00250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C89"/>
    <w:rsid w:val="00042484"/>
    <w:rsid w:val="00066340"/>
    <w:rsid w:val="00074FDE"/>
    <w:rsid w:val="000B1C89"/>
    <w:rsid w:val="0014795B"/>
    <w:rsid w:val="001A2AEC"/>
    <w:rsid w:val="001C1056"/>
    <w:rsid w:val="001C42C0"/>
    <w:rsid w:val="001D3566"/>
    <w:rsid w:val="001E1C70"/>
    <w:rsid w:val="001E6035"/>
    <w:rsid w:val="0021645D"/>
    <w:rsid w:val="00216BEE"/>
    <w:rsid w:val="00250273"/>
    <w:rsid w:val="002A04E2"/>
    <w:rsid w:val="002D043B"/>
    <w:rsid w:val="002D3FD2"/>
    <w:rsid w:val="002F6F75"/>
    <w:rsid w:val="003174F5"/>
    <w:rsid w:val="00367D6A"/>
    <w:rsid w:val="003851CB"/>
    <w:rsid w:val="003C5770"/>
    <w:rsid w:val="003E2003"/>
    <w:rsid w:val="00415E82"/>
    <w:rsid w:val="004541AE"/>
    <w:rsid w:val="00472B46"/>
    <w:rsid w:val="00473046"/>
    <w:rsid w:val="0048754F"/>
    <w:rsid w:val="004D49C3"/>
    <w:rsid w:val="00520BC0"/>
    <w:rsid w:val="0052185C"/>
    <w:rsid w:val="005F579D"/>
    <w:rsid w:val="00617CB5"/>
    <w:rsid w:val="00642A86"/>
    <w:rsid w:val="006D3C20"/>
    <w:rsid w:val="006F014C"/>
    <w:rsid w:val="006F2AE2"/>
    <w:rsid w:val="007C5977"/>
    <w:rsid w:val="007D5DDA"/>
    <w:rsid w:val="007F050D"/>
    <w:rsid w:val="008017F7"/>
    <w:rsid w:val="0082415B"/>
    <w:rsid w:val="00826842"/>
    <w:rsid w:val="00844452"/>
    <w:rsid w:val="00896B23"/>
    <w:rsid w:val="00923085"/>
    <w:rsid w:val="009A1B85"/>
    <w:rsid w:val="00A25363"/>
    <w:rsid w:val="00A37810"/>
    <w:rsid w:val="00A96208"/>
    <w:rsid w:val="00B10A1B"/>
    <w:rsid w:val="00B17064"/>
    <w:rsid w:val="00BB189E"/>
    <w:rsid w:val="00BC5651"/>
    <w:rsid w:val="00BD469C"/>
    <w:rsid w:val="00BF19D7"/>
    <w:rsid w:val="00C947F0"/>
    <w:rsid w:val="00CA1178"/>
    <w:rsid w:val="00CF7E11"/>
    <w:rsid w:val="00D123D8"/>
    <w:rsid w:val="00D7045B"/>
    <w:rsid w:val="00D72F83"/>
    <w:rsid w:val="00D93E80"/>
    <w:rsid w:val="00D96F96"/>
    <w:rsid w:val="00DF0A88"/>
    <w:rsid w:val="00DF7B9B"/>
    <w:rsid w:val="00E03926"/>
    <w:rsid w:val="00E0661F"/>
    <w:rsid w:val="00E12849"/>
    <w:rsid w:val="00F3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CC536"/>
  <w15:chartTrackingRefBased/>
  <w15:docId w15:val="{ABAEC9BF-42E6-4873-BDF7-6EE9A8E15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216BEE"/>
    <w:pPr>
      <w:keepNext/>
      <w:keepLines/>
      <w:spacing w:before="480" w:after="120" w:line="276" w:lineRule="auto"/>
      <w:contextualSpacing/>
      <w:outlineLvl w:val="0"/>
    </w:pPr>
    <w:rPr>
      <w:rFonts w:ascii="Calibri" w:eastAsia="Calibri" w:hAnsi="Calibri" w:cs="Calibri"/>
      <w:b/>
      <w:color w:val="000000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73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3046"/>
    <w:pPr>
      <w:spacing w:after="200" w:line="240" w:lineRule="auto"/>
    </w:pPr>
    <w:rPr>
      <w:rFonts w:ascii="Calibri" w:eastAsia="Calibri" w:hAnsi="Calibri" w:cs="Calibri"/>
      <w:color w:val="000000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3046"/>
    <w:rPr>
      <w:rFonts w:ascii="Calibri" w:eastAsia="Calibri" w:hAnsi="Calibri" w:cs="Calibri"/>
      <w:color w:val="000000"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0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04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216BEE"/>
    <w:rPr>
      <w:rFonts w:ascii="Calibri" w:eastAsia="Calibri" w:hAnsi="Calibri" w:cs="Calibri"/>
      <w:b/>
      <w:color w:val="000000"/>
      <w:sz w:val="48"/>
      <w:szCs w:val="48"/>
      <w:lang w:val="en-GB" w:eastAsia="en-GB"/>
    </w:rPr>
  </w:style>
  <w:style w:type="paragraph" w:customStyle="1" w:styleId="Normal1">
    <w:name w:val="Normal1"/>
    <w:rsid w:val="00216BEE"/>
    <w:pPr>
      <w:spacing w:after="200" w:line="276" w:lineRule="auto"/>
    </w:pPr>
    <w:rPr>
      <w:rFonts w:ascii="Calibri" w:eastAsia="Calibri" w:hAnsi="Calibri" w:cs="Calibri"/>
      <w:color w:val="000000"/>
      <w:lang w:val="en-GB" w:eastAsia="en-GB"/>
    </w:rPr>
  </w:style>
  <w:style w:type="paragraph" w:styleId="NoSpacing">
    <w:name w:val="No Spacing"/>
    <w:uiPriority w:val="1"/>
    <w:qFormat/>
    <w:rsid w:val="002164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3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12</cp:revision>
  <dcterms:created xsi:type="dcterms:W3CDTF">2016-10-22T09:18:00Z</dcterms:created>
  <dcterms:modified xsi:type="dcterms:W3CDTF">2016-11-07T18:04:00Z</dcterms:modified>
</cp:coreProperties>
</file>