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CCA7" w14:textId="77777777" w:rsidR="006624C7" w:rsidRDefault="006624C7">
      <w:pPr>
        <w:spacing w:after="800"/>
      </w:pPr>
    </w:p>
    <w:p w14:paraId="7320CCA8" w14:textId="77777777" w:rsidR="006624C7" w:rsidRPr="004A565A" w:rsidRDefault="00B50FEC">
      <w:pPr>
        <w:shd w:val="clear" w:color="auto" w:fill="1F3864"/>
        <w:spacing w:before="200"/>
        <w:jc w:val="center"/>
        <w:rPr>
          <w:sz w:val="16"/>
          <w:szCs w:val="16"/>
        </w:rPr>
      </w:pPr>
      <w:r w:rsidRPr="004A565A">
        <w:rPr>
          <w:b/>
          <w:bCs/>
          <w:caps/>
          <w:color w:val="FFFFFF"/>
          <w:sz w:val="48"/>
          <w:szCs w:val="48"/>
        </w:rPr>
        <w:t xml:space="preserve">STABILIZED VACANT </w:t>
      </w:r>
      <w:proofErr w:type="gramStart"/>
      <w:r w:rsidRPr="004A565A">
        <w:rPr>
          <w:b/>
          <w:bCs/>
          <w:caps/>
          <w:color w:val="FFFFFF"/>
          <w:sz w:val="48"/>
          <w:szCs w:val="48"/>
        </w:rPr>
        <w:t>UNITS</w:t>
      </w:r>
      <w:proofErr w:type="gramEnd"/>
      <w:r w:rsidRPr="004A565A">
        <w:rPr>
          <w:b/>
          <w:bCs/>
          <w:caps/>
          <w:color w:val="FFFFFF"/>
          <w:sz w:val="48"/>
          <w:szCs w:val="48"/>
        </w:rPr>
        <w:t xml:space="preserve"> TRACKER</w:t>
      </w:r>
    </w:p>
    <w:p w14:paraId="7320CCA9" w14:textId="77777777" w:rsidR="006624C7" w:rsidRPr="004A565A" w:rsidRDefault="00B50FEC">
      <w:pPr>
        <w:shd w:val="clear" w:color="auto" w:fill="1F3864"/>
        <w:spacing w:after="200"/>
        <w:jc w:val="center"/>
        <w:rPr>
          <w:sz w:val="16"/>
          <w:szCs w:val="16"/>
        </w:rPr>
      </w:pPr>
      <w:r w:rsidRPr="004A565A">
        <w:rPr>
          <w:b/>
          <w:bCs/>
          <w:color w:val="D6E4F0"/>
          <w:sz w:val="28"/>
          <w:szCs w:val="28"/>
        </w:rPr>
        <w:t>Fund-Level Analysis</w:t>
      </w:r>
    </w:p>
    <w:p w14:paraId="7320CCAA" w14:textId="77777777" w:rsidR="006624C7" w:rsidRDefault="006624C7">
      <w:pPr>
        <w:spacing w:after="200"/>
      </w:pPr>
    </w:p>
    <w:p w14:paraId="7320CCAB" w14:textId="77777777" w:rsidR="006624C7" w:rsidRDefault="00B50FEC">
      <w:pPr>
        <w:spacing w:after="120"/>
        <w:jc w:val="center"/>
      </w:pPr>
      <w:r>
        <w:rPr>
          <w:i/>
          <w:iCs/>
          <w:color w:val="595959"/>
          <w:sz w:val="26"/>
          <w:szCs w:val="26"/>
        </w:rPr>
        <w:t>Template Methodology &amp; Formula Reference</w:t>
      </w:r>
    </w:p>
    <w:p w14:paraId="7320CCAE" w14:textId="77777777" w:rsidR="006624C7" w:rsidRDefault="006624C7">
      <w:pPr>
        <w:spacing w:after="400"/>
      </w:pPr>
    </w:p>
    <w:p w14:paraId="7320CCAF" w14:textId="77777777" w:rsidR="006624C7" w:rsidRDefault="00B50FEC">
      <w:r>
        <w:br w:type="page"/>
      </w:r>
    </w:p>
    <w:p w14:paraId="7320CCB0" w14:textId="77777777" w:rsidR="006624C7" w:rsidRDefault="00B50FEC">
      <w:pPr>
        <w:pStyle w:val="Heading1"/>
      </w:pPr>
      <w:r>
        <w:lastRenderedPageBreak/>
        <w:t>1. Purpose &amp; Overview</w:t>
      </w:r>
    </w:p>
    <w:p w14:paraId="7320CCB1" w14:textId="77777777" w:rsidR="006624C7" w:rsidRDefault="006624C7">
      <w:pPr>
        <w:spacing w:after="60"/>
      </w:pPr>
    </w:p>
    <w:p w14:paraId="7320CCB2" w14:textId="20A1B019" w:rsidR="006624C7" w:rsidRDefault="00B50FEC">
      <w:pPr>
        <w:spacing w:before="60" w:after="60"/>
      </w:pPr>
      <w:r>
        <w:rPr>
          <w:color w:val="1A1A1A"/>
          <w:sz w:val="22"/>
          <w:szCs w:val="22"/>
        </w:rPr>
        <w:t>This document explains the methodology, data sources, formulas, and decision logic underpinning the Stabilized Vacant Units Tracker — a fund-level Excel analysis tool built</w:t>
      </w:r>
      <w:r w:rsidR="006E308D">
        <w:rPr>
          <w:color w:val="1A1A1A"/>
          <w:sz w:val="22"/>
          <w:szCs w:val="22"/>
        </w:rPr>
        <w:t xml:space="preserve"> </w:t>
      </w:r>
      <w:r>
        <w:rPr>
          <w:color w:val="1A1A1A"/>
          <w:sz w:val="22"/>
          <w:szCs w:val="22"/>
        </w:rPr>
        <w:t xml:space="preserve">to track, prioritize, and recommend actions for all rent-stabilized units that are currently vacant across a portfolio of </w:t>
      </w:r>
      <w:r>
        <w:rPr>
          <w:color w:val="1A1A1A"/>
          <w:sz w:val="22"/>
          <w:szCs w:val="22"/>
        </w:rPr>
        <w:t>properties.</w:t>
      </w:r>
    </w:p>
    <w:p w14:paraId="7320CCB3" w14:textId="77777777" w:rsidR="006624C7" w:rsidRDefault="006624C7">
      <w:pPr>
        <w:spacing w:after="60"/>
      </w:pPr>
    </w:p>
    <w:p w14:paraId="7320CCB4" w14:textId="75ED6E3E" w:rsidR="006624C7" w:rsidRDefault="00B50FEC">
      <w:pPr>
        <w:spacing w:before="60" w:after="60"/>
      </w:pPr>
      <w:r>
        <w:rPr>
          <w:color w:val="1A1A1A"/>
          <w:sz w:val="22"/>
          <w:szCs w:val="22"/>
        </w:rPr>
        <w:t>The tracker consolidates data from multiple property management reports into a single, actionable view that allows asset managers to:</w:t>
      </w:r>
      <w:r w:rsidR="006E308D">
        <w:rPr>
          <w:color w:val="1A1A1A"/>
          <w:sz w:val="22"/>
          <w:szCs w:val="22"/>
        </w:rPr>
        <w:t xml:space="preserve"> </w:t>
      </w:r>
    </w:p>
    <w:p w14:paraId="7320CCB5" w14:textId="77777777" w:rsidR="006624C7" w:rsidRDefault="00B50FEC">
      <w:pPr>
        <w:pStyle w:val="ListParagraph"/>
        <w:numPr>
          <w:ilvl w:val="0"/>
          <w:numId w:val="1"/>
        </w:numPr>
        <w:spacing w:before="40" w:after="40"/>
      </w:pPr>
      <w:r>
        <w:rPr>
          <w:color w:val="1A1A1A"/>
          <w:sz w:val="22"/>
          <w:szCs w:val="22"/>
        </w:rPr>
        <w:t>Monitor how long each stabilized unit has been vacant and categorize its aging tier</w:t>
      </w:r>
    </w:p>
    <w:p w14:paraId="7320CCB6" w14:textId="77777777" w:rsidR="006624C7" w:rsidRDefault="00B50FEC">
      <w:pPr>
        <w:pStyle w:val="ListParagraph"/>
        <w:numPr>
          <w:ilvl w:val="0"/>
          <w:numId w:val="1"/>
        </w:numPr>
        <w:spacing w:before="40" w:after="40"/>
      </w:pPr>
      <w:r>
        <w:rPr>
          <w:color w:val="1A1A1A"/>
          <w:sz w:val="22"/>
          <w:szCs w:val="22"/>
        </w:rPr>
        <w:t>Understand the root cause of vacancy through automated keyword-based reason classification</w:t>
      </w:r>
    </w:p>
    <w:p w14:paraId="7320CCB7" w14:textId="77777777" w:rsidR="006624C7" w:rsidRDefault="00B50FEC">
      <w:pPr>
        <w:pStyle w:val="ListParagraph"/>
        <w:numPr>
          <w:ilvl w:val="0"/>
          <w:numId w:val="1"/>
        </w:numPr>
        <w:spacing w:before="40" w:after="40"/>
      </w:pPr>
      <w:r>
        <w:rPr>
          <w:color w:val="1A1A1A"/>
          <w:sz w:val="22"/>
          <w:szCs w:val="22"/>
        </w:rPr>
        <w:t>Compare the stabilized (max legal) rent against current market rent to identify pricing gaps</w:t>
      </w:r>
    </w:p>
    <w:p w14:paraId="7320CCB8" w14:textId="77777777" w:rsidR="006624C7" w:rsidRDefault="00B50FEC">
      <w:pPr>
        <w:pStyle w:val="ListParagraph"/>
        <w:numPr>
          <w:ilvl w:val="0"/>
          <w:numId w:val="1"/>
        </w:numPr>
        <w:spacing w:before="40" w:after="40"/>
      </w:pPr>
      <w:r>
        <w:rPr>
          <w:color w:val="1A1A1A"/>
          <w:sz w:val="22"/>
          <w:szCs w:val="22"/>
        </w:rPr>
        <w:t>Evaluate renovation status and whether a light or full renovation could close the rent gap</w:t>
      </w:r>
    </w:p>
    <w:p w14:paraId="7320CCBA" w14:textId="5970A2AD" w:rsidR="006624C7" w:rsidRDefault="00B50FEC" w:rsidP="00FA6877">
      <w:pPr>
        <w:pStyle w:val="ListParagraph"/>
        <w:numPr>
          <w:ilvl w:val="0"/>
          <w:numId w:val="1"/>
        </w:numPr>
        <w:spacing w:before="40" w:after="40"/>
      </w:pPr>
      <w:r>
        <w:rPr>
          <w:color w:val="1A1A1A"/>
          <w:sz w:val="22"/>
          <w:szCs w:val="22"/>
        </w:rPr>
        <w:t>Receive a specific, pre-defined Suggested Next Step and Recommended Action for every unit</w:t>
      </w:r>
    </w:p>
    <w:p w14:paraId="7320CCBB" w14:textId="77777777" w:rsidR="006624C7" w:rsidRDefault="00B50FEC">
      <w:pPr>
        <w:pStyle w:val="Heading2"/>
      </w:pPr>
      <w:proofErr w:type="gramStart"/>
      <w:r>
        <w:t>1</w:t>
      </w:r>
      <w:r>
        <w:t>.1  Scope</w:t>
      </w:r>
      <w:proofErr w:type="gramEnd"/>
    </w:p>
    <w:p w14:paraId="7320CCBC" w14:textId="0B337FC5" w:rsidR="006624C7" w:rsidRDefault="00B50FEC">
      <w:pPr>
        <w:spacing w:before="60" w:after="60"/>
      </w:pPr>
      <w:r>
        <w:rPr>
          <w:color w:val="1A1A1A"/>
          <w:sz w:val="22"/>
          <w:szCs w:val="22"/>
        </w:rPr>
        <w:t>The tracker covers all rent-stabilized vacant units across the Fund's</w:t>
      </w:r>
      <w:r>
        <w:rPr>
          <w:color w:val="1A1A1A"/>
          <w:sz w:val="22"/>
          <w:szCs w:val="22"/>
        </w:rPr>
        <w:t xml:space="preserve"> properties as of the tracker date. Units from sold properties are excluded. Each row represents one unit, with data automatically pulled from six underlying source sheets through VLOOKUP, AVERAGEIFS, MAXIFS, INDEX/MATCH, and Array formulas.</w:t>
      </w:r>
    </w:p>
    <w:p w14:paraId="7320CCBD" w14:textId="77777777" w:rsidR="006624C7" w:rsidRDefault="006624C7">
      <w:pPr>
        <w:spacing w:after="100"/>
      </w:pPr>
    </w:p>
    <w:p w14:paraId="7320CCBE" w14:textId="77777777" w:rsidR="006624C7" w:rsidRDefault="00B50FEC">
      <w:pPr>
        <w:pStyle w:val="Heading2"/>
      </w:pPr>
      <w:proofErr w:type="gramStart"/>
      <w:r>
        <w:t>1.2  Tracker</w:t>
      </w:r>
      <w:proofErr w:type="gramEnd"/>
      <w:r>
        <w:t xml:space="preserve"> Date</w:t>
      </w:r>
    </w:p>
    <w:p w14:paraId="7320CCBF" w14:textId="77777777" w:rsidR="006624C7" w:rsidRDefault="00B50FEC">
      <w:pPr>
        <w:spacing w:before="60" w:after="80"/>
      </w:pPr>
      <w:r>
        <w:rPr>
          <w:b/>
          <w:bCs/>
          <w:color w:val="1A1A1A"/>
          <w:sz w:val="22"/>
          <w:szCs w:val="22"/>
        </w:rPr>
        <w:t>Cell C4</w:t>
      </w:r>
      <w:r>
        <w:rPr>
          <w:sz w:val="22"/>
          <w:szCs w:val="22"/>
        </w:rPr>
        <w:t xml:space="preserve"> holds the "Tracker as of" date. Several dynamic column headers reference this date using </w:t>
      </w:r>
      <w:r>
        <w:rPr>
          <w:rFonts w:ascii="Courier New" w:eastAsia="Courier New" w:hAnsi="Courier New" w:cs="Courier New"/>
          <w:color w:val="7030A0"/>
        </w:rPr>
        <w:t>TEXT($C$4,"mm/dd/</w:t>
      </w:r>
      <w:proofErr w:type="spellStart"/>
      <w:r>
        <w:rPr>
          <w:rFonts w:ascii="Courier New" w:eastAsia="Courier New" w:hAnsi="Courier New" w:cs="Courier New"/>
          <w:color w:val="7030A0"/>
        </w:rPr>
        <w:t>yyyy</w:t>
      </w:r>
      <w:proofErr w:type="spellEnd"/>
      <w:r>
        <w:rPr>
          <w:rFonts w:ascii="Courier New" w:eastAsia="Courier New" w:hAnsi="Courier New" w:cs="Courier New"/>
          <w:color w:val="7030A0"/>
        </w:rPr>
        <w:t>")</w:t>
      </w:r>
      <w:r>
        <w:rPr>
          <w:sz w:val="22"/>
          <w:szCs w:val="22"/>
        </w:rPr>
        <w:t>, so headers automatically update when the tracker date is changed.</w:t>
      </w:r>
    </w:p>
    <w:p w14:paraId="7320CCC1" w14:textId="77777777" w:rsidR="006624C7" w:rsidRDefault="00B50FEC" w:rsidP="00FA6877">
      <w:pPr>
        <w:pStyle w:val="Heading1"/>
        <w:ind w:left="0"/>
      </w:pPr>
      <w:r>
        <w:t>2. Workbook Architecture &amp; Data Sources</w:t>
      </w:r>
    </w:p>
    <w:p w14:paraId="7320CCC2" w14:textId="77777777" w:rsidR="006624C7" w:rsidRDefault="006624C7">
      <w:pPr>
        <w:spacing w:after="60"/>
      </w:pPr>
    </w:p>
    <w:p w14:paraId="7320CCC4" w14:textId="0FC2B18C" w:rsidR="006624C7" w:rsidRDefault="00B50FEC" w:rsidP="00FA6877">
      <w:pPr>
        <w:spacing w:before="60" w:after="60"/>
      </w:pPr>
      <w:r>
        <w:rPr>
          <w:color w:val="1A1A1A"/>
          <w:sz w:val="22"/>
          <w:szCs w:val="22"/>
        </w:rPr>
        <w:t>The workbook is organized into nine sheets. The Summary Sheet is the primary output; the remaining eight sheets are either raw data feeds or lookup reference tables.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800"/>
      </w:tblGrid>
      <w:tr w:rsidR="006624C7" w14:paraId="7320CCC8" w14:textId="77777777">
        <w:tblPrEx>
          <w:tblCellMar>
            <w:top w:w="0" w:type="dxa"/>
            <w:bottom w:w="0" w:type="dxa"/>
          </w:tblCellMar>
        </w:tblPrEx>
        <w:trPr>
          <w:tblHeader/>
        </w:trPr>
        <w:tc>
          <w:tcPr>
            <w:tcW w:w="2200" w:type="dxa"/>
            <w:shd w:val="clear" w:color="auto" w:fill="1F3864"/>
            <w:tcMar>
              <w:top w:w="80" w:type="dxa"/>
              <w:left w:w="80" w:type="dxa"/>
              <w:bottom w:w="80" w:type="dxa"/>
              <w:right w:w="80" w:type="dxa"/>
            </w:tcMar>
          </w:tcPr>
          <w:p w14:paraId="7320CCC5" w14:textId="77777777" w:rsidR="006624C7" w:rsidRDefault="00B50FEC">
            <w:pPr>
              <w:jc w:val="center"/>
            </w:pPr>
            <w:r>
              <w:rPr>
                <w:b/>
                <w:bCs/>
                <w:color w:val="FFFFFF"/>
                <w:sz w:val="19"/>
                <w:szCs w:val="19"/>
              </w:rPr>
              <w:t>Sheet Name</w:t>
            </w:r>
          </w:p>
        </w:tc>
        <w:tc>
          <w:tcPr>
            <w:tcW w:w="1400" w:type="dxa"/>
            <w:shd w:val="clear" w:color="auto" w:fill="1F3864"/>
            <w:tcMar>
              <w:top w:w="80" w:type="dxa"/>
              <w:left w:w="80" w:type="dxa"/>
              <w:bottom w:w="80" w:type="dxa"/>
              <w:right w:w="80" w:type="dxa"/>
            </w:tcMar>
          </w:tcPr>
          <w:p w14:paraId="7320CCC6" w14:textId="77777777" w:rsidR="006624C7" w:rsidRDefault="00B50FEC">
            <w:pPr>
              <w:jc w:val="center"/>
            </w:pPr>
            <w:r>
              <w:rPr>
                <w:b/>
                <w:bCs/>
                <w:color w:val="FFFFFF"/>
                <w:sz w:val="19"/>
                <w:szCs w:val="19"/>
              </w:rPr>
              <w:t>Role</w:t>
            </w:r>
          </w:p>
        </w:tc>
        <w:tc>
          <w:tcPr>
            <w:tcW w:w="5800" w:type="dxa"/>
            <w:shd w:val="clear" w:color="auto" w:fill="1F3864"/>
            <w:tcMar>
              <w:top w:w="80" w:type="dxa"/>
              <w:left w:w="80" w:type="dxa"/>
              <w:bottom w:w="80" w:type="dxa"/>
              <w:right w:w="80" w:type="dxa"/>
            </w:tcMar>
          </w:tcPr>
          <w:p w14:paraId="7320CCC7" w14:textId="77777777" w:rsidR="006624C7" w:rsidRDefault="00B50FEC">
            <w:pPr>
              <w:jc w:val="center"/>
            </w:pPr>
            <w:r>
              <w:rPr>
                <w:b/>
                <w:bCs/>
                <w:color w:val="FFFFFF"/>
                <w:sz w:val="19"/>
                <w:szCs w:val="19"/>
              </w:rPr>
              <w:t>Description</w:t>
            </w:r>
          </w:p>
        </w:tc>
      </w:tr>
      <w:tr w:rsidR="006624C7" w14:paraId="7320CCCC"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CC9" w14:textId="77777777" w:rsidR="006624C7" w:rsidRDefault="00B50FEC">
            <w:pPr>
              <w:spacing w:before="30" w:after="30"/>
            </w:pPr>
            <w:r>
              <w:rPr>
                <w:sz w:val="19"/>
                <w:szCs w:val="19"/>
              </w:rPr>
              <w:t>Summary Sheet</w:t>
            </w:r>
          </w:p>
        </w:tc>
        <w:tc>
          <w:tcPr>
            <w:tcW w:w="1400" w:type="dxa"/>
            <w:shd w:val="clear" w:color="auto" w:fill="FFFFFF"/>
            <w:tcMar>
              <w:top w:w="60" w:type="dxa"/>
              <w:left w:w="80" w:type="dxa"/>
              <w:bottom w:w="60" w:type="dxa"/>
              <w:right w:w="80" w:type="dxa"/>
            </w:tcMar>
          </w:tcPr>
          <w:p w14:paraId="7320CCCA" w14:textId="77777777" w:rsidR="006624C7" w:rsidRDefault="00B50FEC">
            <w:pPr>
              <w:spacing w:before="30" w:after="30"/>
            </w:pPr>
            <w:r>
              <w:rPr>
                <w:sz w:val="19"/>
                <w:szCs w:val="19"/>
              </w:rPr>
              <w:t>Output</w:t>
            </w:r>
          </w:p>
        </w:tc>
        <w:tc>
          <w:tcPr>
            <w:tcW w:w="5800" w:type="dxa"/>
            <w:shd w:val="clear" w:color="auto" w:fill="FFFFFF"/>
            <w:tcMar>
              <w:top w:w="60" w:type="dxa"/>
              <w:left w:w="80" w:type="dxa"/>
              <w:bottom w:w="60" w:type="dxa"/>
              <w:right w:w="80" w:type="dxa"/>
            </w:tcMar>
          </w:tcPr>
          <w:p w14:paraId="7320CCCB" w14:textId="77777777" w:rsidR="006624C7" w:rsidRDefault="00B50FEC">
            <w:pPr>
              <w:spacing w:before="30" w:after="30"/>
            </w:pPr>
            <w:r>
              <w:rPr>
                <w:sz w:val="19"/>
                <w:szCs w:val="19"/>
              </w:rPr>
              <w:t>Primary tracker — one row per stabilized vacant unit. All formulas live here.</w:t>
            </w:r>
          </w:p>
        </w:tc>
      </w:tr>
      <w:tr w:rsidR="006624C7" w14:paraId="7320CCD0"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CCD" w14:textId="77777777" w:rsidR="006624C7" w:rsidRDefault="00B50FEC">
            <w:pPr>
              <w:spacing w:before="30" w:after="30"/>
            </w:pPr>
            <w:r>
              <w:rPr>
                <w:sz w:val="19"/>
                <w:szCs w:val="19"/>
              </w:rPr>
              <w:t>Summary Sheet (2)</w:t>
            </w:r>
          </w:p>
        </w:tc>
        <w:tc>
          <w:tcPr>
            <w:tcW w:w="1400" w:type="dxa"/>
            <w:shd w:val="clear" w:color="auto" w:fill="F2F2F2"/>
            <w:tcMar>
              <w:top w:w="60" w:type="dxa"/>
              <w:left w:w="80" w:type="dxa"/>
              <w:bottom w:w="60" w:type="dxa"/>
              <w:right w:w="80" w:type="dxa"/>
            </w:tcMar>
          </w:tcPr>
          <w:p w14:paraId="7320CCCE" w14:textId="77777777" w:rsidR="006624C7" w:rsidRDefault="00B50FEC">
            <w:pPr>
              <w:spacing w:before="30" w:after="30"/>
            </w:pPr>
            <w:r>
              <w:rPr>
                <w:sz w:val="19"/>
                <w:szCs w:val="19"/>
              </w:rPr>
              <w:t>Output</w:t>
            </w:r>
          </w:p>
        </w:tc>
        <w:tc>
          <w:tcPr>
            <w:tcW w:w="5800" w:type="dxa"/>
            <w:shd w:val="clear" w:color="auto" w:fill="F2F2F2"/>
            <w:tcMar>
              <w:top w:w="60" w:type="dxa"/>
              <w:left w:w="80" w:type="dxa"/>
              <w:bottom w:w="60" w:type="dxa"/>
              <w:right w:w="80" w:type="dxa"/>
            </w:tcMar>
          </w:tcPr>
          <w:p w14:paraId="7320CCCF" w14:textId="77777777" w:rsidR="006624C7" w:rsidRDefault="00B50FEC">
            <w:pPr>
              <w:spacing w:before="30" w:after="30"/>
            </w:pPr>
            <w:r>
              <w:rPr>
                <w:sz w:val="19"/>
                <w:szCs w:val="19"/>
              </w:rPr>
              <w:t>Alternate / backup version of the summary tracker (same structure).</w:t>
            </w:r>
          </w:p>
        </w:tc>
      </w:tr>
      <w:tr w:rsidR="006624C7" w14:paraId="7320CCD4"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CD1" w14:textId="77777777" w:rsidR="006624C7" w:rsidRDefault="00B50FEC">
            <w:pPr>
              <w:spacing w:before="30" w:after="30"/>
            </w:pPr>
            <w:r>
              <w:rPr>
                <w:sz w:val="19"/>
                <w:szCs w:val="19"/>
              </w:rPr>
              <w:t>RR (T-0)</w:t>
            </w:r>
          </w:p>
        </w:tc>
        <w:tc>
          <w:tcPr>
            <w:tcW w:w="1400" w:type="dxa"/>
            <w:shd w:val="clear" w:color="auto" w:fill="FFFFFF"/>
            <w:tcMar>
              <w:top w:w="60" w:type="dxa"/>
              <w:left w:w="80" w:type="dxa"/>
              <w:bottom w:w="60" w:type="dxa"/>
              <w:right w:w="80" w:type="dxa"/>
            </w:tcMar>
          </w:tcPr>
          <w:p w14:paraId="7320CCD2" w14:textId="77777777" w:rsidR="006624C7" w:rsidRDefault="00B50FEC">
            <w:pPr>
              <w:spacing w:before="30" w:after="30"/>
            </w:pPr>
            <w:r>
              <w:rPr>
                <w:sz w:val="19"/>
                <w:szCs w:val="19"/>
              </w:rPr>
              <w:t>Source Data</w:t>
            </w:r>
          </w:p>
        </w:tc>
        <w:tc>
          <w:tcPr>
            <w:tcW w:w="5800" w:type="dxa"/>
            <w:shd w:val="clear" w:color="auto" w:fill="FFFFFF"/>
            <w:tcMar>
              <w:top w:w="60" w:type="dxa"/>
              <w:left w:w="80" w:type="dxa"/>
              <w:bottom w:w="60" w:type="dxa"/>
              <w:right w:w="80" w:type="dxa"/>
            </w:tcMar>
          </w:tcPr>
          <w:p w14:paraId="7320CCD3" w14:textId="77777777" w:rsidR="006624C7" w:rsidRDefault="00B50FEC">
            <w:pPr>
              <w:spacing w:before="30" w:after="30"/>
            </w:pPr>
            <w:r>
              <w:rPr>
                <w:sz w:val="19"/>
                <w:szCs w:val="19"/>
              </w:rPr>
              <w:t>Full rent roll at current date — contains rent amounts, unit types, property codes, and "Rent Controlled" flag used to identify stabilized max rents.</w:t>
            </w:r>
          </w:p>
        </w:tc>
      </w:tr>
      <w:tr w:rsidR="006624C7" w14:paraId="7320CCD8"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CD5" w14:textId="77777777" w:rsidR="006624C7" w:rsidRDefault="00B50FEC">
            <w:pPr>
              <w:spacing w:before="30" w:after="30"/>
            </w:pPr>
            <w:r>
              <w:rPr>
                <w:sz w:val="19"/>
                <w:szCs w:val="19"/>
              </w:rPr>
              <w:t>Last Move Out</w:t>
            </w:r>
          </w:p>
        </w:tc>
        <w:tc>
          <w:tcPr>
            <w:tcW w:w="1400" w:type="dxa"/>
            <w:shd w:val="clear" w:color="auto" w:fill="F2F2F2"/>
            <w:tcMar>
              <w:top w:w="60" w:type="dxa"/>
              <w:left w:w="80" w:type="dxa"/>
              <w:bottom w:w="60" w:type="dxa"/>
              <w:right w:w="80" w:type="dxa"/>
            </w:tcMar>
          </w:tcPr>
          <w:p w14:paraId="7320CCD6" w14:textId="77777777" w:rsidR="006624C7" w:rsidRDefault="00B50FEC">
            <w:pPr>
              <w:spacing w:before="30" w:after="30"/>
            </w:pPr>
            <w:r>
              <w:rPr>
                <w:sz w:val="19"/>
                <w:szCs w:val="19"/>
              </w:rPr>
              <w:t>Source Data</w:t>
            </w:r>
          </w:p>
        </w:tc>
        <w:tc>
          <w:tcPr>
            <w:tcW w:w="5800" w:type="dxa"/>
            <w:shd w:val="clear" w:color="auto" w:fill="F2F2F2"/>
            <w:tcMar>
              <w:top w:w="60" w:type="dxa"/>
              <w:left w:w="80" w:type="dxa"/>
              <w:bottom w:w="60" w:type="dxa"/>
              <w:right w:w="80" w:type="dxa"/>
            </w:tcMar>
          </w:tcPr>
          <w:p w14:paraId="7320CCD7" w14:textId="77777777" w:rsidR="006624C7" w:rsidRDefault="00B50FEC">
            <w:pPr>
              <w:spacing w:before="30" w:after="30"/>
            </w:pPr>
            <w:r>
              <w:rPr>
                <w:sz w:val="19"/>
                <w:szCs w:val="19"/>
              </w:rPr>
              <w:t>Move-out reasons report (date range 2021–present) — contains move-in date, move-out date, notice date, and move-out reason per tenant/unit.</w:t>
            </w:r>
          </w:p>
        </w:tc>
      </w:tr>
      <w:tr w:rsidR="006624C7" w14:paraId="7320CCDC"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CD9" w14:textId="77777777" w:rsidR="006624C7" w:rsidRDefault="00B50FEC">
            <w:pPr>
              <w:spacing w:before="30" w:after="30"/>
            </w:pPr>
            <w:r>
              <w:rPr>
                <w:sz w:val="19"/>
                <w:szCs w:val="19"/>
              </w:rPr>
              <w:t>Job Reno Tracker</w:t>
            </w:r>
          </w:p>
        </w:tc>
        <w:tc>
          <w:tcPr>
            <w:tcW w:w="1400" w:type="dxa"/>
            <w:shd w:val="clear" w:color="auto" w:fill="FFFFFF"/>
            <w:tcMar>
              <w:top w:w="60" w:type="dxa"/>
              <w:left w:w="80" w:type="dxa"/>
              <w:bottom w:w="60" w:type="dxa"/>
              <w:right w:w="80" w:type="dxa"/>
            </w:tcMar>
          </w:tcPr>
          <w:p w14:paraId="7320CCDA" w14:textId="77777777" w:rsidR="006624C7" w:rsidRDefault="00B50FEC">
            <w:pPr>
              <w:spacing w:before="30" w:after="30"/>
            </w:pPr>
            <w:r>
              <w:rPr>
                <w:sz w:val="19"/>
                <w:szCs w:val="19"/>
              </w:rPr>
              <w:t>Source Data</w:t>
            </w:r>
          </w:p>
        </w:tc>
        <w:tc>
          <w:tcPr>
            <w:tcW w:w="5800" w:type="dxa"/>
            <w:shd w:val="clear" w:color="auto" w:fill="FFFFFF"/>
            <w:tcMar>
              <w:top w:w="60" w:type="dxa"/>
              <w:left w:w="80" w:type="dxa"/>
              <w:bottom w:w="60" w:type="dxa"/>
              <w:right w:w="80" w:type="dxa"/>
            </w:tcMar>
          </w:tcPr>
          <w:p w14:paraId="7320CCDB" w14:textId="77777777" w:rsidR="006624C7" w:rsidRDefault="00B50FEC">
            <w:pPr>
              <w:spacing w:before="30" w:after="30"/>
            </w:pPr>
            <w:r>
              <w:rPr>
                <w:sz w:val="19"/>
                <w:szCs w:val="19"/>
              </w:rPr>
              <w:t>Renovation job tracker — contains current reno type and renovation completion date per unit.</w:t>
            </w:r>
          </w:p>
        </w:tc>
      </w:tr>
      <w:tr w:rsidR="006624C7" w14:paraId="7320CCE0"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CDD" w14:textId="77777777" w:rsidR="006624C7" w:rsidRDefault="00B50FEC">
            <w:pPr>
              <w:spacing w:before="30" w:after="30"/>
            </w:pPr>
            <w:r>
              <w:rPr>
                <w:sz w:val="19"/>
                <w:szCs w:val="19"/>
              </w:rPr>
              <w:t>Custom Unit Availability Listing</w:t>
            </w:r>
          </w:p>
        </w:tc>
        <w:tc>
          <w:tcPr>
            <w:tcW w:w="1400" w:type="dxa"/>
            <w:shd w:val="clear" w:color="auto" w:fill="F2F2F2"/>
            <w:tcMar>
              <w:top w:w="60" w:type="dxa"/>
              <w:left w:w="80" w:type="dxa"/>
              <w:bottom w:w="60" w:type="dxa"/>
              <w:right w:w="80" w:type="dxa"/>
            </w:tcMar>
          </w:tcPr>
          <w:p w14:paraId="7320CCDE" w14:textId="77777777" w:rsidR="006624C7" w:rsidRDefault="00B50FEC">
            <w:pPr>
              <w:spacing w:before="30" w:after="30"/>
            </w:pPr>
            <w:r>
              <w:rPr>
                <w:sz w:val="19"/>
                <w:szCs w:val="19"/>
              </w:rPr>
              <w:t>Source Data</w:t>
            </w:r>
          </w:p>
        </w:tc>
        <w:tc>
          <w:tcPr>
            <w:tcW w:w="5800" w:type="dxa"/>
            <w:shd w:val="clear" w:color="auto" w:fill="F2F2F2"/>
            <w:tcMar>
              <w:top w:w="60" w:type="dxa"/>
              <w:left w:w="80" w:type="dxa"/>
              <w:bottom w:w="60" w:type="dxa"/>
              <w:right w:w="80" w:type="dxa"/>
            </w:tcMar>
          </w:tcPr>
          <w:p w14:paraId="7320CCDF" w14:textId="77777777" w:rsidR="006624C7" w:rsidRDefault="00B50FEC">
            <w:pPr>
              <w:spacing w:before="30" w:after="30"/>
            </w:pPr>
            <w:r>
              <w:rPr>
                <w:sz w:val="19"/>
                <w:szCs w:val="19"/>
              </w:rPr>
              <w:t>Turn status report — shows current leasing/availability status of each unit.</w:t>
            </w:r>
          </w:p>
        </w:tc>
      </w:tr>
      <w:tr w:rsidR="006624C7" w14:paraId="7320CCE4"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CE1" w14:textId="77777777" w:rsidR="006624C7" w:rsidRDefault="00B50FEC">
            <w:pPr>
              <w:spacing w:before="30" w:after="30"/>
            </w:pPr>
            <w:r>
              <w:rPr>
                <w:sz w:val="19"/>
                <w:szCs w:val="19"/>
              </w:rPr>
              <w:t>Amenities</w:t>
            </w:r>
          </w:p>
        </w:tc>
        <w:tc>
          <w:tcPr>
            <w:tcW w:w="1400" w:type="dxa"/>
            <w:shd w:val="clear" w:color="auto" w:fill="FFFFFF"/>
            <w:tcMar>
              <w:top w:w="60" w:type="dxa"/>
              <w:left w:w="80" w:type="dxa"/>
              <w:bottom w:w="60" w:type="dxa"/>
              <w:right w:w="80" w:type="dxa"/>
            </w:tcMar>
          </w:tcPr>
          <w:p w14:paraId="7320CCE2" w14:textId="77777777" w:rsidR="006624C7" w:rsidRDefault="00B50FEC">
            <w:pPr>
              <w:spacing w:before="30" w:after="30"/>
            </w:pPr>
            <w:r>
              <w:rPr>
                <w:sz w:val="19"/>
                <w:szCs w:val="19"/>
              </w:rPr>
              <w:t>Source Data</w:t>
            </w:r>
          </w:p>
        </w:tc>
        <w:tc>
          <w:tcPr>
            <w:tcW w:w="5800" w:type="dxa"/>
            <w:shd w:val="clear" w:color="auto" w:fill="FFFFFF"/>
            <w:tcMar>
              <w:top w:w="60" w:type="dxa"/>
              <w:left w:w="80" w:type="dxa"/>
              <w:bottom w:w="60" w:type="dxa"/>
              <w:right w:w="80" w:type="dxa"/>
            </w:tcMar>
          </w:tcPr>
          <w:p w14:paraId="7320CCE3" w14:textId="77777777" w:rsidR="006624C7" w:rsidRDefault="00B50FEC">
            <w:pPr>
              <w:spacing w:before="30" w:after="30"/>
            </w:pPr>
            <w:r>
              <w:rPr>
                <w:sz w:val="19"/>
                <w:szCs w:val="19"/>
              </w:rPr>
              <w:t>Tenant-level records with lease dates, move-in/out dates, and amenity dollar amounts.</w:t>
            </w:r>
          </w:p>
        </w:tc>
      </w:tr>
      <w:tr w:rsidR="006624C7" w14:paraId="7320CCE8"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CE5" w14:textId="77777777" w:rsidR="006624C7" w:rsidRDefault="00B50FEC">
            <w:pPr>
              <w:spacing w:before="30" w:after="30"/>
            </w:pPr>
            <w:r>
              <w:rPr>
                <w:sz w:val="19"/>
                <w:szCs w:val="19"/>
              </w:rPr>
              <w:t>Unit Type Vacancy</w:t>
            </w:r>
          </w:p>
        </w:tc>
        <w:tc>
          <w:tcPr>
            <w:tcW w:w="1400" w:type="dxa"/>
            <w:shd w:val="clear" w:color="auto" w:fill="F2F2F2"/>
            <w:tcMar>
              <w:top w:w="60" w:type="dxa"/>
              <w:left w:w="80" w:type="dxa"/>
              <w:bottom w:w="60" w:type="dxa"/>
              <w:right w:w="80" w:type="dxa"/>
            </w:tcMar>
          </w:tcPr>
          <w:p w14:paraId="7320CCE6" w14:textId="77777777" w:rsidR="006624C7" w:rsidRDefault="00B50FEC">
            <w:pPr>
              <w:spacing w:before="30" w:after="30"/>
            </w:pPr>
            <w:r>
              <w:rPr>
                <w:sz w:val="19"/>
                <w:szCs w:val="19"/>
              </w:rPr>
              <w:t>Source Data</w:t>
            </w:r>
          </w:p>
        </w:tc>
        <w:tc>
          <w:tcPr>
            <w:tcW w:w="5800" w:type="dxa"/>
            <w:shd w:val="clear" w:color="auto" w:fill="F2F2F2"/>
            <w:tcMar>
              <w:top w:w="60" w:type="dxa"/>
              <w:left w:w="80" w:type="dxa"/>
              <w:bottom w:w="60" w:type="dxa"/>
              <w:right w:w="80" w:type="dxa"/>
            </w:tcMar>
          </w:tcPr>
          <w:p w14:paraId="7320CCE7" w14:textId="77777777" w:rsidR="006624C7" w:rsidRDefault="00B50FEC">
            <w:pPr>
              <w:spacing w:before="30" w:after="30"/>
            </w:pPr>
            <w:r>
              <w:rPr>
                <w:sz w:val="19"/>
                <w:szCs w:val="19"/>
              </w:rPr>
              <w:t>Unit-level vacancy data including days vacant, rent, square footage, comments, and stabilized flag.</w:t>
            </w:r>
          </w:p>
        </w:tc>
      </w:tr>
      <w:tr w:rsidR="006624C7" w14:paraId="7320CCEC"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CE9" w14:textId="77777777" w:rsidR="006624C7" w:rsidRDefault="00B50FEC">
            <w:pPr>
              <w:spacing w:before="30" w:after="30"/>
            </w:pPr>
            <w:r>
              <w:rPr>
                <w:sz w:val="19"/>
                <w:szCs w:val="19"/>
              </w:rPr>
              <w:t>Lookup</w:t>
            </w:r>
          </w:p>
        </w:tc>
        <w:tc>
          <w:tcPr>
            <w:tcW w:w="1400" w:type="dxa"/>
            <w:shd w:val="clear" w:color="auto" w:fill="FFFFFF"/>
            <w:tcMar>
              <w:top w:w="60" w:type="dxa"/>
              <w:left w:w="80" w:type="dxa"/>
              <w:bottom w:w="60" w:type="dxa"/>
              <w:right w:w="80" w:type="dxa"/>
            </w:tcMar>
          </w:tcPr>
          <w:p w14:paraId="7320CCEA" w14:textId="77777777" w:rsidR="006624C7" w:rsidRDefault="00B50FEC">
            <w:pPr>
              <w:spacing w:before="30" w:after="30"/>
            </w:pPr>
            <w:r>
              <w:rPr>
                <w:sz w:val="19"/>
                <w:szCs w:val="19"/>
              </w:rPr>
              <w:t>Reference</w:t>
            </w:r>
          </w:p>
        </w:tc>
        <w:tc>
          <w:tcPr>
            <w:tcW w:w="5800" w:type="dxa"/>
            <w:shd w:val="clear" w:color="auto" w:fill="FFFFFF"/>
            <w:tcMar>
              <w:top w:w="60" w:type="dxa"/>
              <w:left w:w="80" w:type="dxa"/>
              <w:bottom w:w="60" w:type="dxa"/>
              <w:right w:w="80" w:type="dxa"/>
            </w:tcMar>
          </w:tcPr>
          <w:p w14:paraId="7320CCEB" w14:textId="77777777" w:rsidR="006624C7" w:rsidRDefault="00B50FEC">
            <w:pPr>
              <w:spacing w:before="30" w:after="30"/>
            </w:pPr>
            <w:r>
              <w:rPr>
                <w:sz w:val="19"/>
                <w:szCs w:val="19"/>
              </w:rPr>
              <w:t>Master mapping table: property names → short names, entity names, funds, regions, unit-type standardization, and the Stabilized Unit List (the definitive list of units included in the tracker).</w:t>
            </w:r>
          </w:p>
        </w:tc>
      </w:tr>
    </w:tbl>
    <w:p w14:paraId="7320CCED" w14:textId="77777777" w:rsidR="006624C7" w:rsidRDefault="006624C7">
      <w:pPr>
        <w:spacing w:after="120"/>
      </w:pPr>
    </w:p>
    <w:p w14:paraId="7320CCEE" w14:textId="77777777" w:rsidR="006624C7" w:rsidRDefault="00B50FEC">
      <w:pPr>
        <w:pStyle w:val="Heading2"/>
      </w:pPr>
      <w:proofErr w:type="gramStart"/>
      <w:r>
        <w:t>2.1  Unique</w:t>
      </w:r>
      <w:proofErr w:type="gramEnd"/>
      <w:r>
        <w:t xml:space="preserve"> Key / Concatenation Logic</w:t>
      </w:r>
    </w:p>
    <w:p w14:paraId="7320CCEF" w14:textId="77777777" w:rsidR="006624C7" w:rsidRDefault="00B50FEC">
      <w:pPr>
        <w:spacing w:before="60" w:after="60"/>
      </w:pPr>
      <w:r>
        <w:rPr>
          <w:color w:val="1A1A1A"/>
          <w:sz w:val="22"/>
          <w:szCs w:val="22"/>
        </w:rPr>
        <w:t>Every cross-sheet lookup uses a composite key formed by concatenating the Unit Number with the Property Entity Name. This avoids collisions where the same unit number exists across different properties.</w:t>
      </w:r>
    </w:p>
    <w:p w14:paraId="7320CCF0" w14:textId="77777777" w:rsidR="006624C7" w:rsidRDefault="006624C7">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6624C7" w14:paraId="7320CCF2" w14:textId="77777777">
        <w:tblPrEx>
          <w:tblCellMar>
            <w:top w:w="0" w:type="dxa"/>
            <w:bottom w:w="0" w:type="dxa"/>
          </w:tblCellMar>
        </w:tblPrEx>
        <w:tc>
          <w:tcPr>
            <w:tcW w:w="0" w:type="auto"/>
            <w:gridSpan w:val="2"/>
            <w:shd w:val="clear" w:color="auto" w:fill="2E75B6"/>
            <w:tcMar>
              <w:top w:w="80" w:type="dxa"/>
              <w:left w:w="120" w:type="dxa"/>
              <w:bottom w:w="80" w:type="dxa"/>
              <w:right w:w="120" w:type="dxa"/>
            </w:tcMar>
          </w:tcPr>
          <w:p w14:paraId="7320CCF1" w14:textId="77777777" w:rsidR="006624C7" w:rsidRDefault="00B50FEC">
            <w:r>
              <w:rPr>
                <w:b/>
                <w:bCs/>
                <w:color w:val="FFFFFF"/>
                <w:sz w:val="19"/>
                <w:szCs w:val="19"/>
              </w:rPr>
              <w:t>Composite Key (used in all lookups)</w:t>
            </w:r>
          </w:p>
        </w:tc>
      </w:tr>
      <w:tr w:rsidR="006624C7" w14:paraId="7320CCF5"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7320CCF3" w14:textId="77777777" w:rsidR="006624C7" w:rsidRDefault="00B50FEC">
            <w:r>
              <w:rPr>
                <w:b/>
                <w:bCs/>
                <w:color w:val="2E75B6"/>
                <w:sz w:val="19"/>
                <w:szCs w:val="19"/>
              </w:rPr>
              <w:t>Formula</w:t>
            </w:r>
          </w:p>
        </w:tc>
        <w:tc>
          <w:tcPr>
            <w:tcW w:w="7400" w:type="dxa"/>
            <w:shd w:val="clear" w:color="auto" w:fill="F8F0FF"/>
            <w:tcMar>
              <w:top w:w="80" w:type="dxa"/>
              <w:left w:w="120" w:type="dxa"/>
              <w:bottom w:w="80" w:type="dxa"/>
              <w:right w:w="120" w:type="dxa"/>
            </w:tcMar>
          </w:tcPr>
          <w:p w14:paraId="7320CCF4" w14:textId="77777777" w:rsidR="006624C7" w:rsidRDefault="00B50FEC">
            <w:proofErr w:type="gramStart"/>
            <w:r>
              <w:rPr>
                <w:rFonts w:ascii="Courier New" w:eastAsia="Courier New" w:hAnsi="Courier New" w:cs="Courier New"/>
                <w:color w:val="7030A0"/>
              </w:rPr>
              <w:t>CONCAT(</w:t>
            </w:r>
            <w:proofErr w:type="spellStart"/>
            <w:proofErr w:type="gramEnd"/>
            <w:r>
              <w:rPr>
                <w:rFonts w:ascii="Courier New" w:eastAsia="Courier New" w:hAnsi="Courier New" w:cs="Courier New"/>
                <w:color w:val="7030A0"/>
              </w:rPr>
              <w:t>UnitNumber</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VLOOKUP(</w:t>
            </w:r>
            <w:proofErr w:type="spellStart"/>
            <w:proofErr w:type="gramEnd"/>
            <w:r>
              <w:rPr>
                <w:rFonts w:ascii="Courier New" w:eastAsia="Courier New" w:hAnsi="Courier New" w:cs="Courier New"/>
                <w:color w:val="7030A0"/>
              </w:rPr>
              <w:t>PropertyName</w:t>
            </w:r>
            <w:proofErr w:type="spellEnd"/>
            <w:r>
              <w:rPr>
                <w:rFonts w:ascii="Courier New" w:eastAsia="Courier New" w:hAnsi="Courier New" w:cs="Courier New"/>
                <w:color w:val="7030A0"/>
              </w:rPr>
              <w:t xml:space="preserve">, </w:t>
            </w:r>
            <w:proofErr w:type="spellStart"/>
            <w:proofErr w:type="gramStart"/>
            <w:r>
              <w:rPr>
                <w:rFonts w:ascii="Courier New" w:eastAsia="Courier New" w:hAnsi="Courier New" w:cs="Courier New"/>
                <w:color w:val="7030A0"/>
              </w:rPr>
              <w:t>Lookup!H</w:t>
            </w:r>
            <w:proofErr w:type="gramEnd"/>
            <w:r>
              <w:rPr>
                <w:rFonts w:ascii="Courier New" w:eastAsia="Courier New" w:hAnsi="Courier New" w:cs="Courier New"/>
                <w:color w:val="7030A0"/>
              </w:rPr>
              <w:t>:M</w:t>
            </w:r>
            <w:proofErr w:type="spellEnd"/>
            <w:r>
              <w:rPr>
                <w:rFonts w:ascii="Courier New" w:eastAsia="Courier New" w:hAnsi="Courier New" w:cs="Courier New"/>
                <w:color w:val="7030A0"/>
              </w:rPr>
              <w:t>, 6, FALSE))</w:t>
            </w:r>
          </w:p>
        </w:tc>
      </w:tr>
      <w:tr w:rsidR="006624C7" w14:paraId="7320CCF8"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7320CCF6" w14:textId="77777777" w:rsidR="006624C7" w:rsidRDefault="00B50FEC">
            <w:r>
              <w:rPr>
                <w:b/>
                <w:bCs/>
                <w:color w:val="2E75B6"/>
                <w:sz w:val="19"/>
                <w:szCs w:val="19"/>
              </w:rPr>
              <w:t>Logic</w:t>
            </w:r>
          </w:p>
        </w:tc>
        <w:tc>
          <w:tcPr>
            <w:tcW w:w="7400" w:type="dxa"/>
            <w:tcMar>
              <w:top w:w="80" w:type="dxa"/>
              <w:left w:w="120" w:type="dxa"/>
              <w:bottom w:w="80" w:type="dxa"/>
              <w:right w:w="120" w:type="dxa"/>
            </w:tcMar>
          </w:tcPr>
          <w:p w14:paraId="7320CCF7" w14:textId="77777777" w:rsidR="006624C7" w:rsidRDefault="00B50FEC">
            <w:r>
              <w:rPr>
                <w:sz w:val="19"/>
                <w:szCs w:val="19"/>
              </w:rPr>
              <w:t>Unit number from column C is joined with the entity name returned from the Lookup sheet (column 6 of range H:M). For example, unit "2A" at "Entity 5" produces key "2AEntity 5". This key is pre-computed in the Unit Type Vacancy, Amenities, Job Reno Tracker, and Custom Unit Availability sheets to enable fast lookups.</w:t>
            </w:r>
          </w:p>
        </w:tc>
      </w:tr>
    </w:tbl>
    <w:p w14:paraId="7320CCF9" w14:textId="77777777" w:rsidR="006624C7" w:rsidRDefault="00B50FEC">
      <w:r>
        <w:br w:type="page"/>
      </w:r>
    </w:p>
    <w:p w14:paraId="7320CCFA" w14:textId="77777777" w:rsidR="006624C7" w:rsidRDefault="00B50FEC">
      <w:pPr>
        <w:pStyle w:val="Heading1"/>
      </w:pPr>
      <w:r>
        <w:lastRenderedPageBreak/>
        <w:t>3. Column-by-Column Formula Reference</w:t>
      </w:r>
    </w:p>
    <w:p w14:paraId="7320CCFB" w14:textId="77777777" w:rsidR="006624C7" w:rsidRDefault="006624C7">
      <w:pPr>
        <w:spacing w:after="60"/>
      </w:pPr>
    </w:p>
    <w:p w14:paraId="7320CCFC" w14:textId="77777777" w:rsidR="006624C7" w:rsidRDefault="00B50FEC">
      <w:pPr>
        <w:spacing w:before="60" w:after="60"/>
      </w:pPr>
      <w:r>
        <w:rPr>
          <w:color w:val="1A1A1A"/>
          <w:sz w:val="22"/>
          <w:szCs w:val="22"/>
        </w:rPr>
        <w:t>The table below maps every column in the Summary Sheet to its data source, formula pattern, and plain-language logic.</w:t>
      </w:r>
    </w:p>
    <w:p w14:paraId="7320CCFD" w14:textId="77777777" w:rsidR="006624C7" w:rsidRDefault="006624C7">
      <w:pPr>
        <w:spacing w:after="100"/>
      </w:pPr>
    </w:p>
    <w:p w14:paraId="7320CCFE" w14:textId="77777777" w:rsidR="006624C7" w:rsidRDefault="00B50FEC">
      <w:pPr>
        <w:spacing w:before="100" w:after="40"/>
        <w:jc w:val="center"/>
      </w:pPr>
      <w:r>
        <w:rPr>
          <w:noProof/>
        </w:rPr>
        <w:drawing>
          <wp:inline distT="0" distB="0" distL="0" distR="0" wp14:anchorId="7320CEB9" wp14:editId="096DDCCC">
            <wp:extent cx="6839501" cy="368792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7269" r="50944" b="49115"/>
                    <a:stretch>
                      <a:fillRect/>
                    </a:stretch>
                  </pic:blipFill>
                  <pic:spPr bwMode="auto">
                    <a:xfrm>
                      <a:off x="0" y="0"/>
                      <a:ext cx="6889167" cy="3714705"/>
                    </a:xfrm>
                    <a:prstGeom prst="rect">
                      <a:avLst/>
                    </a:prstGeom>
                    <a:ln>
                      <a:noFill/>
                    </a:ln>
                    <a:extLst>
                      <a:ext uri="{53640926-AAD7-44D8-BBD7-CCE9431645EC}">
                        <a14:shadowObscured xmlns:a14="http://schemas.microsoft.com/office/drawing/2010/main"/>
                      </a:ext>
                    </a:extLst>
                  </pic:spPr>
                </pic:pic>
              </a:graphicData>
            </a:graphic>
          </wp:inline>
        </w:drawing>
      </w:r>
    </w:p>
    <w:p w14:paraId="5E1053EF" w14:textId="3370DF60" w:rsidR="00C6708E" w:rsidRDefault="00C6708E">
      <w:pPr>
        <w:spacing w:after="160"/>
        <w:jc w:val="center"/>
        <w:rPr>
          <w:i/>
          <w:iCs/>
          <w:color w:val="595959"/>
          <w:sz w:val="22"/>
          <w:szCs w:val="22"/>
        </w:rPr>
      </w:pPr>
      <w:r>
        <w:rPr>
          <w:noProof/>
        </w:rPr>
        <w:drawing>
          <wp:inline distT="0" distB="0" distL="0" distR="0" wp14:anchorId="0C3640C4" wp14:editId="2CE9D936">
            <wp:extent cx="7307995" cy="3795024"/>
            <wp:effectExtent l="0" t="0" r="7620" b="0"/>
            <wp:docPr id="1384975493" name="Picture 138497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49060" t="7269" b="49115"/>
                    <a:stretch>
                      <a:fillRect/>
                    </a:stretch>
                  </pic:blipFill>
                  <pic:spPr bwMode="auto">
                    <a:xfrm>
                      <a:off x="0" y="0"/>
                      <a:ext cx="7340909" cy="3812116"/>
                    </a:xfrm>
                    <a:prstGeom prst="rect">
                      <a:avLst/>
                    </a:prstGeom>
                    <a:ln>
                      <a:noFill/>
                    </a:ln>
                    <a:extLst>
                      <a:ext uri="{53640926-AAD7-44D8-BBD7-CCE9431645EC}">
                        <a14:shadowObscured xmlns:a14="http://schemas.microsoft.com/office/drawing/2010/main"/>
                      </a:ext>
                    </a:extLst>
                  </pic:spPr>
                </pic:pic>
              </a:graphicData>
            </a:graphic>
          </wp:inline>
        </w:drawing>
      </w:r>
    </w:p>
    <w:p w14:paraId="7320CCFF" w14:textId="55A9618D" w:rsidR="006624C7" w:rsidRDefault="00B50FEC">
      <w:pPr>
        <w:spacing w:after="160"/>
        <w:jc w:val="center"/>
      </w:pPr>
      <w:r>
        <w:rPr>
          <w:i/>
          <w:iCs/>
          <w:color w:val="595959"/>
          <w:sz w:val="22"/>
          <w:szCs w:val="22"/>
        </w:rPr>
        <w:t>Figure 1 — Stabilized Vacant Units Tracker: Summary Sheet output (masked data)</w:t>
      </w:r>
    </w:p>
    <w:p w14:paraId="7320CD00" w14:textId="77777777" w:rsidR="006624C7" w:rsidRDefault="006624C7">
      <w:pPr>
        <w:spacing w:after="120"/>
      </w:pPr>
    </w:p>
    <w:p w14:paraId="7320CD01" w14:textId="77777777" w:rsidR="006624C7" w:rsidRDefault="00B50FEC">
      <w:pPr>
        <w:pStyle w:val="Heading2"/>
      </w:pPr>
      <w:proofErr w:type="gramStart"/>
      <w:r>
        <w:lastRenderedPageBreak/>
        <w:t>3.1  Unit</w:t>
      </w:r>
      <w:proofErr w:type="gramEnd"/>
      <w:r>
        <w:t xml:space="preserve"> Identity Columns (B – G)</w:t>
      </w:r>
    </w:p>
    <w:p w14:paraId="7320CD02" w14:textId="77777777" w:rsidR="006624C7" w:rsidRDefault="006624C7">
      <w:pPr>
        <w:spacing w:after="60"/>
      </w:pP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7905"/>
      </w:tblGrid>
      <w:tr w:rsidR="006624C7" w14:paraId="7320CD06" w14:textId="77777777" w:rsidTr="00FA6877">
        <w:tblPrEx>
          <w:tblCellMar>
            <w:top w:w="0" w:type="dxa"/>
            <w:bottom w:w="0" w:type="dxa"/>
          </w:tblCellMar>
        </w:tblPrEx>
        <w:trPr>
          <w:tblHeader/>
        </w:trPr>
        <w:tc>
          <w:tcPr>
            <w:tcW w:w="1200" w:type="dxa"/>
            <w:shd w:val="clear" w:color="auto" w:fill="1F3864"/>
            <w:tcMar>
              <w:top w:w="80" w:type="dxa"/>
              <w:left w:w="80" w:type="dxa"/>
              <w:bottom w:w="80" w:type="dxa"/>
              <w:right w:w="80" w:type="dxa"/>
            </w:tcMar>
          </w:tcPr>
          <w:p w14:paraId="7320CD03" w14:textId="77777777" w:rsidR="006624C7" w:rsidRDefault="00B50FEC">
            <w:pPr>
              <w:jc w:val="center"/>
            </w:pPr>
            <w:r>
              <w:rPr>
                <w:b/>
                <w:bCs/>
                <w:color w:val="FFFFFF"/>
                <w:sz w:val="19"/>
                <w:szCs w:val="19"/>
              </w:rPr>
              <w:t>Column</w:t>
            </w:r>
          </w:p>
        </w:tc>
        <w:tc>
          <w:tcPr>
            <w:tcW w:w="1600" w:type="dxa"/>
            <w:shd w:val="clear" w:color="auto" w:fill="1F3864"/>
            <w:tcMar>
              <w:top w:w="80" w:type="dxa"/>
              <w:left w:w="80" w:type="dxa"/>
              <w:bottom w:w="80" w:type="dxa"/>
              <w:right w:w="80" w:type="dxa"/>
            </w:tcMar>
          </w:tcPr>
          <w:p w14:paraId="7320CD04" w14:textId="77777777" w:rsidR="006624C7" w:rsidRDefault="00B50FEC">
            <w:pPr>
              <w:jc w:val="center"/>
            </w:pPr>
            <w:r>
              <w:rPr>
                <w:b/>
                <w:bCs/>
                <w:color w:val="FFFFFF"/>
                <w:sz w:val="19"/>
                <w:szCs w:val="19"/>
              </w:rPr>
              <w:t>Header</w:t>
            </w:r>
          </w:p>
        </w:tc>
        <w:tc>
          <w:tcPr>
            <w:tcW w:w="7905" w:type="dxa"/>
            <w:shd w:val="clear" w:color="auto" w:fill="1F3864"/>
            <w:tcMar>
              <w:top w:w="80" w:type="dxa"/>
              <w:left w:w="80" w:type="dxa"/>
              <w:bottom w:w="80" w:type="dxa"/>
              <w:right w:w="80" w:type="dxa"/>
            </w:tcMar>
          </w:tcPr>
          <w:p w14:paraId="7320CD05" w14:textId="77777777" w:rsidR="006624C7" w:rsidRDefault="00B50FEC">
            <w:pPr>
              <w:jc w:val="center"/>
            </w:pPr>
            <w:r>
              <w:rPr>
                <w:b/>
                <w:bCs/>
                <w:color w:val="FFFFFF"/>
                <w:sz w:val="19"/>
                <w:szCs w:val="19"/>
              </w:rPr>
              <w:t>Formula / Logic</w:t>
            </w:r>
          </w:p>
        </w:tc>
      </w:tr>
      <w:tr w:rsidR="006624C7" w14:paraId="7320CD0A"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07" w14:textId="77777777" w:rsidR="006624C7" w:rsidRDefault="00B50FEC">
            <w:pPr>
              <w:spacing w:before="30" w:after="30"/>
            </w:pPr>
            <w:r>
              <w:rPr>
                <w:sz w:val="19"/>
                <w:szCs w:val="19"/>
              </w:rPr>
              <w:t>B</w:t>
            </w:r>
          </w:p>
        </w:tc>
        <w:tc>
          <w:tcPr>
            <w:tcW w:w="1600" w:type="dxa"/>
            <w:shd w:val="clear" w:color="auto" w:fill="FFFFFF"/>
            <w:tcMar>
              <w:top w:w="60" w:type="dxa"/>
              <w:left w:w="80" w:type="dxa"/>
              <w:bottom w:w="60" w:type="dxa"/>
              <w:right w:w="80" w:type="dxa"/>
            </w:tcMar>
          </w:tcPr>
          <w:p w14:paraId="7320CD08" w14:textId="77777777" w:rsidR="006624C7" w:rsidRDefault="00B50FEC">
            <w:pPr>
              <w:spacing w:before="30" w:after="30"/>
            </w:pPr>
            <w:r>
              <w:rPr>
                <w:sz w:val="19"/>
                <w:szCs w:val="19"/>
              </w:rPr>
              <w:t>Property Name</w:t>
            </w:r>
          </w:p>
        </w:tc>
        <w:tc>
          <w:tcPr>
            <w:tcW w:w="7905" w:type="dxa"/>
            <w:shd w:val="clear" w:color="auto" w:fill="FFFFFF"/>
            <w:tcMar>
              <w:top w:w="60" w:type="dxa"/>
              <w:left w:w="80" w:type="dxa"/>
              <w:bottom w:w="60" w:type="dxa"/>
              <w:right w:w="80" w:type="dxa"/>
            </w:tcMar>
          </w:tcPr>
          <w:p w14:paraId="7320CD09" w14:textId="77777777" w:rsidR="006624C7" w:rsidRDefault="00B50FEC">
            <w:pPr>
              <w:spacing w:before="30" w:after="30"/>
            </w:pPr>
            <w:r>
              <w:rPr>
                <w:sz w:val="19"/>
                <w:szCs w:val="19"/>
              </w:rPr>
              <w:t>Hardcoded — entered manually when populating the unit list. Serves as the primary property identifier for all VLOOKUP calls.</w:t>
            </w:r>
          </w:p>
        </w:tc>
      </w:tr>
      <w:tr w:rsidR="006624C7" w14:paraId="7320CD0E"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0B" w14:textId="77777777" w:rsidR="006624C7" w:rsidRDefault="00B50FEC">
            <w:pPr>
              <w:spacing w:before="30" w:after="30"/>
            </w:pPr>
            <w:r>
              <w:rPr>
                <w:sz w:val="19"/>
                <w:szCs w:val="19"/>
              </w:rPr>
              <w:t>C</w:t>
            </w:r>
          </w:p>
        </w:tc>
        <w:tc>
          <w:tcPr>
            <w:tcW w:w="1600" w:type="dxa"/>
            <w:shd w:val="clear" w:color="auto" w:fill="F2F2F2"/>
            <w:tcMar>
              <w:top w:w="60" w:type="dxa"/>
              <w:left w:w="80" w:type="dxa"/>
              <w:bottom w:w="60" w:type="dxa"/>
              <w:right w:w="80" w:type="dxa"/>
            </w:tcMar>
          </w:tcPr>
          <w:p w14:paraId="7320CD0C" w14:textId="77777777" w:rsidR="006624C7" w:rsidRDefault="00B50FEC">
            <w:pPr>
              <w:spacing w:before="30" w:after="30"/>
            </w:pPr>
            <w:r>
              <w:rPr>
                <w:sz w:val="19"/>
                <w:szCs w:val="19"/>
              </w:rPr>
              <w:t>Unit</w:t>
            </w:r>
          </w:p>
        </w:tc>
        <w:tc>
          <w:tcPr>
            <w:tcW w:w="7905" w:type="dxa"/>
            <w:shd w:val="clear" w:color="auto" w:fill="F2F2F2"/>
            <w:tcMar>
              <w:top w:w="60" w:type="dxa"/>
              <w:left w:w="80" w:type="dxa"/>
              <w:bottom w:w="60" w:type="dxa"/>
              <w:right w:w="80" w:type="dxa"/>
            </w:tcMar>
          </w:tcPr>
          <w:p w14:paraId="7320CD0D" w14:textId="77777777" w:rsidR="006624C7" w:rsidRDefault="00B50FEC">
            <w:pPr>
              <w:spacing w:before="30" w:after="30"/>
            </w:pPr>
            <w:r>
              <w:rPr>
                <w:sz w:val="19"/>
                <w:szCs w:val="19"/>
              </w:rPr>
              <w:t>Hardcoded — the unit number. Used as the first component of the composite key.</w:t>
            </w:r>
          </w:p>
        </w:tc>
      </w:tr>
      <w:tr w:rsidR="006624C7" w14:paraId="7320CD12"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0F" w14:textId="77777777" w:rsidR="006624C7" w:rsidRDefault="00B50FEC">
            <w:pPr>
              <w:spacing w:before="30" w:after="30"/>
            </w:pPr>
            <w:r>
              <w:rPr>
                <w:sz w:val="19"/>
                <w:szCs w:val="19"/>
              </w:rPr>
              <w:t>D</w:t>
            </w:r>
          </w:p>
        </w:tc>
        <w:tc>
          <w:tcPr>
            <w:tcW w:w="1600" w:type="dxa"/>
            <w:shd w:val="clear" w:color="auto" w:fill="FFFFFF"/>
            <w:tcMar>
              <w:top w:w="60" w:type="dxa"/>
              <w:left w:w="80" w:type="dxa"/>
              <w:bottom w:w="60" w:type="dxa"/>
              <w:right w:w="80" w:type="dxa"/>
            </w:tcMar>
          </w:tcPr>
          <w:p w14:paraId="7320CD10" w14:textId="77777777" w:rsidR="006624C7" w:rsidRDefault="00B50FEC">
            <w:pPr>
              <w:spacing w:before="30" w:after="30"/>
            </w:pPr>
            <w:r>
              <w:rPr>
                <w:sz w:val="19"/>
                <w:szCs w:val="19"/>
              </w:rPr>
              <w:t>Unit Type</w:t>
            </w:r>
          </w:p>
        </w:tc>
        <w:tc>
          <w:tcPr>
            <w:tcW w:w="7905" w:type="dxa"/>
            <w:shd w:val="clear" w:color="auto" w:fill="FFFFFF"/>
            <w:tcMar>
              <w:top w:w="60" w:type="dxa"/>
              <w:left w:w="80" w:type="dxa"/>
              <w:bottom w:w="60" w:type="dxa"/>
              <w:right w:w="80" w:type="dxa"/>
            </w:tcMar>
          </w:tcPr>
          <w:p w14:paraId="7320CD11" w14:textId="77777777" w:rsidR="006624C7" w:rsidRDefault="00B50FEC">
            <w:pPr>
              <w:spacing w:before="30" w:after="30"/>
            </w:pPr>
            <w:r>
              <w:rPr>
                <w:sz w:val="19"/>
                <w:szCs w:val="19"/>
              </w:rPr>
              <w:t>VLOOKUP(CONCAT(</w:t>
            </w:r>
            <w:proofErr w:type="spellStart"/>
            <w:proofErr w:type="gramStart"/>
            <w:r>
              <w:rPr>
                <w:sz w:val="19"/>
                <w:szCs w:val="19"/>
              </w:rPr>
              <w:t>C,EntityName</w:t>
            </w:r>
            <w:proofErr w:type="spellEnd"/>
            <w:proofErr w:type="gramEnd"/>
            <w:r>
              <w:rPr>
                <w:sz w:val="19"/>
                <w:szCs w:val="19"/>
              </w:rPr>
              <w:t>), RR(T-0</w:t>
            </w:r>
            <w:proofErr w:type="gramStart"/>
            <w:r>
              <w:rPr>
                <w:sz w:val="19"/>
                <w:szCs w:val="19"/>
              </w:rPr>
              <w:t>)!A24:T15829</w:t>
            </w:r>
            <w:proofErr w:type="gramEnd"/>
            <w:r>
              <w:rPr>
                <w:sz w:val="19"/>
                <w:szCs w:val="19"/>
              </w:rPr>
              <w:t>, 20, FALSE) — looks up the unit type (e.g., "2 Bed 1 Bath") from the rent roll using the composite key.</w:t>
            </w:r>
          </w:p>
        </w:tc>
      </w:tr>
      <w:tr w:rsidR="006624C7" w14:paraId="7320CD16"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13" w14:textId="77777777" w:rsidR="006624C7" w:rsidRDefault="00B50FEC">
            <w:pPr>
              <w:spacing w:before="30" w:after="30"/>
            </w:pPr>
            <w:r>
              <w:rPr>
                <w:sz w:val="19"/>
                <w:szCs w:val="19"/>
              </w:rPr>
              <w:t>E</w:t>
            </w:r>
          </w:p>
        </w:tc>
        <w:tc>
          <w:tcPr>
            <w:tcW w:w="1600" w:type="dxa"/>
            <w:shd w:val="clear" w:color="auto" w:fill="F2F2F2"/>
            <w:tcMar>
              <w:top w:w="60" w:type="dxa"/>
              <w:left w:w="80" w:type="dxa"/>
              <w:bottom w:w="60" w:type="dxa"/>
              <w:right w:w="80" w:type="dxa"/>
            </w:tcMar>
          </w:tcPr>
          <w:p w14:paraId="7320CD14" w14:textId="77777777" w:rsidR="006624C7" w:rsidRDefault="00B50FEC">
            <w:pPr>
              <w:spacing w:before="30" w:after="30"/>
            </w:pPr>
            <w:r>
              <w:rPr>
                <w:sz w:val="19"/>
                <w:szCs w:val="19"/>
              </w:rPr>
              <w:t>Property Short Name</w:t>
            </w:r>
          </w:p>
        </w:tc>
        <w:tc>
          <w:tcPr>
            <w:tcW w:w="7905" w:type="dxa"/>
            <w:shd w:val="clear" w:color="auto" w:fill="F2F2F2"/>
            <w:tcMar>
              <w:top w:w="60" w:type="dxa"/>
              <w:left w:w="80" w:type="dxa"/>
              <w:bottom w:w="60" w:type="dxa"/>
              <w:right w:w="80" w:type="dxa"/>
            </w:tcMar>
          </w:tcPr>
          <w:p w14:paraId="7320CD15" w14:textId="77777777" w:rsidR="006624C7" w:rsidRDefault="00B50FEC">
            <w:pPr>
              <w:spacing w:before="30" w:after="30"/>
            </w:pPr>
            <w:proofErr w:type="gramStart"/>
            <w:r>
              <w:rPr>
                <w:sz w:val="19"/>
                <w:szCs w:val="19"/>
              </w:rPr>
              <w:t>VLOOKUP(VLOOKUP(</w:t>
            </w:r>
            <w:proofErr w:type="gramEnd"/>
            <w:r>
              <w:rPr>
                <w:sz w:val="19"/>
                <w:szCs w:val="19"/>
              </w:rPr>
              <w:t xml:space="preserve">B, </w:t>
            </w:r>
            <w:proofErr w:type="spellStart"/>
            <w:proofErr w:type="gramStart"/>
            <w:r>
              <w:rPr>
                <w:sz w:val="19"/>
                <w:szCs w:val="19"/>
              </w:rPr>
              <w:t>Lookup!H</w:t>
            </w:r>
            <w:proofErr w:type="gramEnd"/>
            <w:r>
              <w:rPr>
                <w:sz w:val="19"/>
                <w:szCs w:val="19"/>
              </w:rPr>
              <w:t>:M</w:t>
            </w:r>
            <w:proofErr w:type="spellEnd"/>
            <w:r>
              <w:rPr>
                <w:sz w:val="19"/>
                <w:szCs w:val="19"/>
              </w:rPr>
              <w:t xml:space="preserve">, 6), </w:t>
            </w:r>
            <w:proofErr w:type="spellStart"/>
            <w:proofErr w:type="gramStart"/>
            <w:r>
              <w:rPr>
                <w:sz w:val="19"/>
                <w:szCs w:val="19"/>
              </w:rPr>
              <w:t>Lookup!F</w:t>
            </w:r>
            <w:proofErr w:type="gramEnd"/>
            <w:r>
              <w:rPr>
                <w:sz w:val="19"/>
                <w:szCs w:val="19"/>
              </w:rPr>
              <w:t>:G</w:t>
            </w:r>
            <w:proofErr w:type="spellEnd"/>
            <w:r>
              <w:rPr>
                <w:sz w:val="19"/>
                <w:szCs w:val="19"/>
              </w:rPr>
              <w:t>, 2, FALSE) — two-step lookup: first resolves entity name from property name, then resolves the short display name.</w:t>
            </w:r>
          </w:p>
        </w:tc>
      </w:tr>
      <w:tr w:rsidR="006624C7" w14:paraId="7320CD1A"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17" w14:textId="77777777" w:rsidR="006624C7" w:rsidRDefault="00B50FEC">
            <w:pPr>
              <w:spacing w:before="30" w:after="30"/>
            </w:pPr>
            <w:r>
              <w:rPr>
                <w:sz w:val="19"/>
                <w:szCs w:val="19"/>
              </w:rPr>
              <w:t>F</w:t>
            </w:r>
          </w:p>
        </w:tc>
        <w:tc>
          <w:tcPr>
            <w:tcW w:w="1600" w:type="dxa"/>
            <w:shd w:val="clear" w:color="auto" w:fill="FFFFFF"/>
            <w:tcMar>
              <w:top w:w="60" w:type="dxa"/>
              <w:left w:w="80" w:type="dxa"/>
              <w:bottom w:w="60" w:type="dxa"/>
              <w:right w:w="80" w:type="dxa"/>
            </w:tcMar>
          </w:tcPr>
          <w:p w14:paraId="7320CD18" w14:textId="77777777" w:rsidR="006624C7" w:rsidRDefault="00B50FEC">
            <w:pPr>
              <w:spacing w:before="30" w:after="30"/>
            </w:pPr>
            <w:r>
              <w:rPr>
                <w:sz w:val="19"/>
                <w:szCs w:val="19"/>
              </w:rPr>
              <w:t>Default Address</w:t>
            </w:r>
          </w:p>
        </w:tc>
        <w:tc>
          <w:tcPr>
            <w:tcW w:w="7905" w:type="dxa"/>
            <w:shd w:val="clear" w:color="auto" w:fill="FFFFFF"/>
            <w:tcMar>
              <w:top w:w="60" w:type="dxa"/>
              <w:left w:w="80" w:type="dxa"/>
              <w:bottom w:w="60" w:type="dxa"/>
              <w:right w:w="80" w:type="dxa"/>
            </w:tcMar>
          </w:tcPr>
          <w:p w14:paraId="7320CD19" w14:textId="77777777" w:rsidR="006624C7" w:rsidRDefault="00B50FEC">
            <w:pPr>
              <w:spacing w:before="30" w:after="30"/>
            </w:pPr>
            <w:proofErr w:type="gramStart"/>
            <w:r>
              <w:rPr>
                <w:sz w:val="19"/>
                <w:szCs w:val="19"/>
              </w:rPr>
              <w:t>VLOOKUP(CONCAT(</w:t>
            </w:r>
            <w:proofErr w:type="gramEnd"/>
            <w:r>
              <w:rPr>
                <w:sz w:val="19"/>
                <w:szCs w:val="19"/>
              </w:rPr>
              <w:t xml:space="preserve">C, </w:t>
            </w:r>
            <w:proofErr w:type="spellStart"/>
            <w:r>
              <w:rPr>
                <w:sz w:val="19"/>
                <w:szCs w:val="19"/>
              </w:rPr>
              <w:t>EntityName</w:t>
            </w:r>
            <w:proofErr w:type="spellEnd"/>
            <w:r>
              <w:rPr>
                <w:sz w:val="19"/>
                <w:szCs w:val="19"/>
              </w:rPr>
              <w:t xml:space="preserve">), </w:t>
            </w:r>
            <w:proofErr w:type="spellStart"/>
            <w:proofErr w:type="gramStart"/>
            <w:r>
              <w:rPr>
                <w:sz w:val="19"/>
                <w:szCs w:val="19"/>
              </w:rPr>
              <w:t>UnitTypeVacancy!A</w:t>
            </w:r>
            <w:proofErr w:type="gramEnd"/>
            <w:r>
              <w:rPr>
                <w:sz w:val="19"/>
                <w:szCs w:val="19"/>
              </w:rPr>
              <w:t>:E</w:t>
            </w:r>
            <w:proofErr w:type="spellEnd"/>
            <w:r>
              <w:rPr>
                <w:sz w:val="19"/>
                <w:szCs w:val="19"/>
              </w:rPr>
              <w:t>, 5, FALSE) — retrieves the street address for the unit from the Unit Type Vacancy sheet.</w:t>
            </w:r>
          </w:p>
        </w:tc>
      </w:tr>
      <w:tr w:rsidR="006624C7" w14:paraId="7320CD1E"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1B" w14:textId="77777777" w:rsidR="006624C7" w:rsidRDefault="00B50FEC">
            <w:pPr>
              <w:spacing w:before="30" w:after="30"/>
            </w:pPr>
            <w:r>
              <w:rPr>
                <w:sz w:val="19"/>
                <w:szCs w:val="19"/>
              </w:rPr>
              <w:t>G</w:t>
            </w:r>
          </w:p>
        </w:tc>
        <w:tc>
          <w:tcPr>
            <w:tcW w:w="1600" w:type="dxa"/>
            <w:shd w:val="clear" w:color="auto" w:fill="F2F2F2"/>
            <w:tcMar>
              <w:top w:w="60" w:type="dxa"/>
              <w:left w:w="80" w:type="dxa"/>
              <w:bottom w:w="60" w:type="dxa"/>
              <w:right w:w="80" w:type="dxa"/>
            </w:tcMar>
          </w:tcPr>
          <w:p w14:paraId="7320CD1C" w14:textId="77777777" w:rsidR="006624C7" w:rsidRDefault="00B50FEC">
            <w:pPr>
              <w:spacing w:before="30" w:after="30"/>
            </w:pPr>
            <w:r>
              <w:rPr>
                <w:sz w:val="19"/>
                <w:szCs w:val="19"/>
              </w:rPr>
              <w:t>Sq. Footage</w:t>
            </w:r>
          </w:p>
        </w:tc>
        <w:tc>
          <w:tcPr>
            <w:tcW w:w="7905" w:type="dxa"/>
            <w:shd w:val="clear" w:color="auto" w:fill="F2F2F2"/>
            <w:tcMar>
              <w:top w:w="60" w:type="dxa"/>
              <w:left w:w="80" w:type="dxa"/>
              <w:bottom w:w="60" w:type="dxa"/>
              <w:right w:w="80" w:type="dxa"/>
            </w:tcMar>
          </w:tcPr>
          <w:p w14:paraId="7320CD1D" w14:textId="77777777" w:rsidR="006624C7" w:rsidRDefault="00B50FEC">
            <w:pPr>
              <w:spacing w:before="30" w:after="30"/>
            </w:pPr>
            <w:proofErr w:type="gramStart"/>
            <w:r>
              <w:rPr>
                <w:sz w:val="19"/>
                <w:szCs w:val="19"/>
              </w:rPr>
              <w:t>VLOOKUP(CONCAT(</w:t>
            </w:r>
            <w:proofErr w:type="gramEnd"/>
            <w:r>
              <w:rPr>
                <w:sz w:val="19"/>
                <w:szCs w:val="19"/>
              </w:rPr>
              <w:t xml:space="preserve">C, </w:t>
            </w:r>
            <w:proofErr w:type="spellStart"/>
            <w:r>
              <w:rPr>
                <w:sz w:val="19"/>
                <w:szCs w:val="19"/>
              </w:rPr>
              <w:t>EntityName</w:t>
            </w:r>
            <w:proofErr w:type="spellEnd"/>
            <w:r>
              <w:rPr>
                <w:sz w:val="19"/>
                <w:szCs w:val="19"/>
              </w:rPr>
              <w:t xml:space="preserve">), </w:t>
            </w:r>
            <w:proofErr w:type="spellStart"/>
            <w:proofErr w:type="gramStart"/>
            <w:r>
              <w:rPr>
                <w:sz w:val="19"/>
                <w:szCs w:val="19"/>
              </w:rPr>
              <w:t>Amenities!B</w:t>
            </w:r>
            <w:proofErr w:type="gramEnd"/>
            <w:r>
              <w:rPr>
                <w:sz w:val="19"/>
                <w:szCs w:val="19"/>
              </w:rPr>
              <w:t>:H</w:t>
            </w:r>
            <w:proofErr w:type="spellEnd"/>
            <w:r>
              <w:rPr>
                <w:sz w:val="19"/>
                <w:szCs w:val="19"/>
              </w:rPr>
              <w:t>, 7, FALSE) — pulls square footage from the Amenities sheet using the composite key.</w:t>
            </w:r>
          </w:p>
        </w:tc>
      </w:tr>
    </w:tbl>
    <w:p w14:paraId="7320CD1F" w14:textId="77777777" w:rsidR="006624C7" w:rsidRDefault="006624C7">
      <w:pPr>
        <w:spacing w:after="160"/>
      </w:pPr>
    </w:p>
    <w:p w14:paraId="7320CD20" w14:textId="77777777" w:rsidR="006624C7" w:rsidRDefault="00B50FEC">
      <w:pPr>
        <w:pStyle w:val="Heading2"/>
      </w:pPr>
      <w:proofErr w:type="gramStart"/>
      <w:r>
        <w:t>3.2  Operational</w:t>
      </w:r>
      <w:proofErr w:type="gramEnd"/>
      <w:r>
        <w:t xml:space="preserve"> Status Columns (H – K)</w:t>
      </w:r>
    </w:p>
    <w:p w14:paraId="7320CD21" w14:textId="77777777" w:rsidR="006624C7" w:rsidRDefault="006624C7">
      <w:pPr>
        <w:spacing w:after="60"/>
      </w:pP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7305"/>
      </w:tblGrid>
      <w:tr w:rsidR="006624C7" w14:paraId="7320CD25" w14:textId="77777777" w:rsidTr="00FA6877">
        <w:tblPrEx>
          <w:tblCellMar>
            <w:top w:w="0" w:type="dxa"/>
            <w:bottom w:w="0" w:type="dxa"/>
          </w:tblCellMar>
        </w:tblPrEx>
        <w:trPr>
          <w:tblHeader/>
        </w:trPr>
        <w:tc>
          <w:tcPr>
            <w:tcW w:w="1200" w:type="dxa"/>
            <w:shd w:val="clear" w:color="auto" w:fill="1F3864"/>
            <w:tcMar>
              <w:top w:w="80" w:type="dxa"/>
              <w:left w:w="80" w:type="dxa"/>
              <w:bottom w:w="80" w:type="dxa"/>
              <w:right w:w="80" w:type="dxa"/>
            </w:tcMar>
          </w:tcPr>
          <w:p w14:paraId="7320CD22" w14:textId="77777777" w:rsidR="006624C7" w:rsidRDefault="00B50FEC">
            <w:pPr>
              <w:jc w:val="center"/>
            </w:pPr>
            <w:r>
              <w:rPr>
                <w:b/>
                <w:bCs/>
                <w:color w:val="FFFFFF"/>
                <w:sz w:val="19"/>
                <w:szCs w:val="19"/>
              </w:rPr>
              <w:t>Column</w:t>
            </w:r>
          </w:p>
        </w:tc>
        <w:tc>
          <w:tcPr>
            <w:tcW w:w="2200" w:type="dxa"/>
            <w:shd w:val="clear" w:color="auto" w:fill="1F3864"/>
            <w:tcMar>
              <w:top w:w="80" w:type="dxa"/>
              <w:left w:w="80" w:type="dxa"/>
              <w:bottom w:w="80" w:type="dxa"/>
              <w:right w:w="80" w:type="dxa"/>
            </w:tcMar>
          </w:tcPr>
          <w:p w14:paraId="7320CD23" w14:textId="77777777" w:rsidR="006624C7" w:rsidRDefault="00B50FEC">
            <w:pPr>
              <w:jc w:val="center"/>
            </w:pPr>
            <w:r>
              <w:rPr>
                <w:b/>
                <w:bCs/>
                <w:color w:val="FFFFFF"/>
                <w:sz w:val="19"/>
                <w:szCs w:val="19"/>
              </w:rPr>
              <w:t>Header</w:t>
            </w:r>
          </w:p>
        </w:tc>
        <w:tc>
          <w:tcPr>
            <w:tcW w:w="7305" w:type="dxa"/>
            <w:shd w:val="clear" w:color="auto" w:fill="1F3864"/>
            <w:tcMar>
              <w:top w:w="80" w:type="dxa"/>
              <w:left w:w="80" w:type="dxa"/>
              <w:bottom w:w="80" w:type="dxa"/>
              <w:right w:w="80" w:type="dxa"/>
            </w:tcMar>
          </w:tcPr>
          <w:p w14:paraId="7320CD24" w14:textId="77777777" w:rsidR="006624C7" w:rsidRDefault="00B50FEC">
            <w:pPr>
              <w:jc w:val="center"/>
            </w:pPr>
            <w:r>
              <w:rPr>
                <w:b/>
                <w:bCs/>
                <w:color w:val="FFFFFF"/>
                <w:sz w:val="19"/>
                <w:szCs w:val="19"/>
              </w:rPr>
              <w:t>Formula / Logic</w:t>
            </w:r>
          </w:p>
        </w:tc>
      </w:tr>
      <w:tr w:rsidR="006624C7" w14:paraId="7320CD29"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26" w14:textId="77777777" w:rsidR="006624C7" w:rsidRDefault="00B50FEC">
            <w:pPr>
              <w:spacing w:before="30" w:after="30"/>
            </w:pPr>
            <w:r>
              <w:rPr>
                <w:sz w:val="19"/>
                <w:szCs w:val="19"/>
              </w:rPr>
              <w:t>H</w:t>
            </w:r>
          </w:p>
        </w:tc>
        <w:tc>
          <w:tcPr>
            <w:tcW w:w="2200" w:type="dxa"/>
            <w:shd w:val="clear" w:color="auto" w:fill="FFFFFF"/>
            <w:tcMar>
              <w:top w:w="60" w:type="dxa"/>
              <w:left w:w="80" w:type="dxa"/>
              <w:bottom w:w="60" w:type="dxa"/>
              <w:right w:w="80" w:type="dxa"/>
            </w:tcMar>
          </w:tcPr>
          <w:p w14:paraId="7320CD27" w14:textId="77777777" w:rsidR="006624C7" w:rsidRDefault="00B50FEC">
            <w:pPr>
              <w:spacing w:before="30" w:after="30"/>
            </w:pPr>
            <w:r>
              <w:rPr>
                <w:sz w:val="19"/>
                <w:szCs w:val="19"/>
              </w:rPr>
              <w:t>Current Reno Type (as of date)</w:t>
            </w:r>
          </w:p>
        </w:tc>
        <w:tc>
          <w:tcPr>
            <w:tcW w:w="7305" w:type="dxa"/>
            <w:shd w:val="clear" w:color="auto" w:fill="FFFFFF"/>
            <w:tcMar>
              <w:top w:w="60" w:type="dxa"/>
              <w:left w:w="80" w:type="dxa"/>
              <w:bottom w:w="60" w:type="dxa"/>
              <w:right w:w="80" w:type="dxa"/>
            </w:tcMar>
          </w:tcPr>
          <w:p w14:paraId="7320CD28" w14:textId="77777777" w:rsidR="006624C7" w:rsidRDefault="00B50FEC">
            <w:pPr>
              <w:spacing w:before="30" w:after="30"/>
            </w:pPr>
            <w:proofErr w:type="gramStart"/>
            <w:r>
              <w:rPr>
                <w:sz w:val="19"/>
                <w:szCs w:val="19"/>
              </w:rPr>
              <w:t>VLOOKUP(CONCAT(</w:t>
            </w:r>
            <w:proofErr w:type="gramEnd"/>
            <w:r>
              <w:rPr>
                <w:sz w:val="19"/>
                <w:szCs w:val="19"/>
              </w:rPr>
              <w:t xml:space="preserve">C, B), </w:t>
            </w:r>
            <w:proofErr w:type="gramStart"/>
            <w:r>
              <w:rPr>
                <w:sz w:val="19"/>
                <w:szCs w:val="19"/>
              </w:rPr>
              <w:t>JobRenoTracker!B5:W</w:t>
            </w:r>
            <w:proofErr w:type="gramEnd"/>
            <w:r>
              <w:rPr>
                <w:sz w:val="19"/>
                <w:szCs w:val="19"/>
              </w:rPr>
              <w:t>, 22, FALSE) — pulls the current renovation classification (e.g., "Portfolio Reno Medium", "Seller Reno Low", "Classic") from column 22 of the Job Reno Tracker.</w:t>
            </w:r>
          </w:p>
        </w:tc>
      </w:tr>
      <w:tr w:rsidR="006624C7" w14:paraId="7320CD2D"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2A" w14:textId="77777777" w:rsidR="006624C7" w:rsidRDefault="00B50FEC">
            <w:pPr>
              <w:spacing w:before="30" w:after="30"/>
            </w:pPr>
            <w:r>
              <w:rPr>
                <w:sz w:val="19"/>
                <w:szCs w:val="19"/>
              </w:rPr>
              <w:t>I</w:t>
            </w:r>
          </w:p>
        </w:tc>
        <w:tc>
          <w:tcPr>
            <w:tcW w:w="2200" w:type="dxa"/>
            <w:shd w:val="clear" w:color="auto" w:fill="F2F2F2"/>
            <w:tcMar>
              <w:top w:w="60" w:type="dxa"/>
              <w:left w:w="80" w:type="dxa"/>
              <w:bottom w:w="60" w:type="dxa"/>
              <w:right w:w="80" w:type="dxa"/>
            </w:tcMar>
          </w:tcPr>
          <w:p w14:paraId="7320CD2B" w14:textId="77777777" w:rsidR="006624C7" w:rsidRDefault="00B50FEC">
            <w:pPr>
              <w:spacing w:before="30" w:after="30"/>
            </w:pPr>
            <w:r>
              <w:rPr>
                <w:sz w:val="19"/>
                <w:szCs w:val="19"/>
              </w:rPr>
              <w:t>Current Turn Status (as of date)</w:t>
            </w:r>
          </w:p>
        </w:tc>
        <w:tc>
          <w:tcPr>
            <w:tcW w:w="7305" w:type="dxa"/>
            <w:shd w:val="clear" w:color="auto" w:fill="F2F2F2"/>
            <w:tcMar>
              <w:top w:w="60" w:type="dxa"/>
              <w:left w:w="80" w:type="dxa"/>
              <w:bottom w:w="60" w:type="dxa"/>
              <w:right w:w="80" w:type="dxa"/>
            </w:tcMar>
          </w:tcPr>
          <w:p w14:paraId="7320CD2C" w14:textId="77777777" w:rsidR="006624C7" w:rsidRDefault="00B50FEC">
            <w:pPr>
              <w:spacing w:before="30" w:after="30"/>
            </w:pPr>
            <w:proofErr w:type="gramStart"/>
            <w:r>
              <w:rPr>
                <w:sz w:val="19"/>
                <w:szCs w:val="19"/>
              </w:rPr>
              <w:t>VLOOKUP(CONCAT(</w:t>
            </w:r>
            <w:proofErr w:type="gramEnd"/>
            <w:r>
              <w:rPr>
                <w:sz w:val="19"/>
                <w:szCs w:val="19"/>
              </w:rPr>
              <w:t xml:space="preserve">C, B), </w:t>
            </w:r>
            <w:proofErr w:type="spellStart"/>
            <w:proofErr w:type="gramStart"/>
            <w:r>
              <w:rPr>
                <w:sz w:val="19"/>
                <w:szCs w:val="19"/>
              </w:rPr>
              <w:t>CustomUnitAvailabilityListing!A</w:t>
            </w:r>
            <w:proofErr w:type="gramEnd"/>
            <w:r>
              <w:rPr>
                <w:sz w:val="19"/>
                <w:szCs w:val="19"/>
              </w:rPr>
              <w:t>:B</w:t>
            </w:r>
            <w:proofErr w:type="spellEnd"/>
            <w:r>
              <w:rPr>
                <w:sz w:val="19"/>
                <w:szCs w:val="19"/>
              </w:rPr>
              <w:t>, 2, FALSE) — fetches the current leasing/turn status (e.g., "Available", "Pre-Lease Vacant") from column 2 of the Custom Unit Availability Listing.</w:t>
            </w:r>
          </w:p>
        </w:tc>
      </w:tr>
      <w:tr w:rsidR="006624C7" w14:paraId="7320CD31"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2E" w14:textId="77777777" w:rsidR="006624C7" w:rsidRDefault="00B50FEC">
            <w:pPr>
              <w:spacing w:before="30" w:after="30"/>
            </w:pPr>
            <w:r>
              <w:rPr>
                <w:sz w:val="19"/>
                <w:szCs w:val="19"/>
              </w:rPr>
              <w:t>J</w:t>
            </w:r>
          </w:p>
        </w:tc>
        <w:tc>
          <w:tcPr>
            <w:tcW w:w="2200" w:type="dxa"/>
            <w:shd w:val="clear" w:color="auto" w:fill="FFFFFF"/>
            <w:tcMar>
              <w:top w:w="60" w:type="dxa"/>
              <w:left w:w="80" w:type="dxa"/>
              <w:bottom w:w="60" w:type="dxa"/>
              <w:right w:w="80" w:type="dxa"/>
            </w:tcMar>
          </w:tcPr>
          <w:p w14:paraId="7320CD2F" w14:textId="77777777" w:rsidR="006624C7" w:rsidRDefault="00B50FEC">
            <w:pPr>
              <w:spacing w:before="30" w:after="30"/>
            </w:pPr>
            <w:r>
              <w:rPr>
                <w:sz w:val="19"/>
                <w:szCs w:val="19"/>
              </w:rPr>
              <w:t>Amenities</w:t>
            </w:r>
          </w:p>
        </w:tc>
        <w:tc>
          <w:tcPr>
            <w:tcW w:w="7305" w:type="dxa"/>
            <w:shd w:val="clear" w:color="auto" w:fill="FFFFFF"/>
            <w:tcMar>
              <w:top w:w="60" w:type="dxa"/>
              <w:left w:w="80" w:type="dxa"/>
              <w:bottom w:w="60" w:type="dxa"/>
              <w:right w:w="80" w:type="dxa"/>
            </w:tcMar>
          </w:tcPr>
          <w:p w14:paraId="7320CD30" w14:textId="77777777" w:rsidR="006624C7" w:rsidRDefault="00B50FEC">
            <w:pPr>
              <w:spacing w:before="30" w:after="30"/>
            </w:pPr>
            <w:proofErr w:type="gramStart"/>
            <w:r>
              <w:rPr>
                <w:sz w:val="19"/>
                <w:szCs w:val="19"/>
              </w:rPr>
              <w:t>IFERROR(IF(VLOOKUP(</w:t>
            </w:r>
            <w:proofErr w:type="gramEnd"/>
            <w:r>
              <w:rPr>
                <w:sz w:val="19"/>
                <w:szCs w:val="19"/>
              </w:rPr>
              <w:t xml:space="preserve">..., Amenities, </w:t>
            </w:r>
            <w:proofErr w:type="gramStart"/>
            <w:r>
              <w:rPr>
                <w:sz w:val="19"/>
                <w:szCs w:val="19"/>
              </w:rPr>
              <w:t>12)=</w:t>
            </w:r>
            <w:proofErr w:type="gramEnd"/>
            <w:r>
              <w:rPr>
                <w:sz w:val="19"/>
                <w:szCs w:val="19"/>
              </w:rPr>
              <w:t xml:space="preserve">0, "", </w:t>
            </w:r>
            <w:proofErr w:type="gramStart"/>
            <w:r>
              <w:rPr>
                <w:sz w:val="19"/>
                <w:szCs w:val="19"/>
              </w:rPr>
              <w:t>VLOOKUP(</w:t>
            </w:r>
            <w:proofErr w:type="gramEnd"/>
            <w:r>
              <w:rPr>
                <w:sz w:val="19"/>
                <w:szCs w:val="19"/>
              </w:rPr>
              <w:t>..., Amenities, 12))) — retrieves the total amenity dollar value from column 12 of the Amenities sheet; returns blank if zero.</w:t>
            </w:r>
          </w:p>
        </w:tc>
      </w:tr>
      <w:tr w:rsidR="006624C7" w14:paraId="7320CD35"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32" w14:textId="77777777" w:rsidR="006624C7" w:rsidRDefault="00B50FEC">
            <w:pPr>
              <w:spacing w:before="30" w:after="30"/>
            </w:pPr>
            <w:r>
              <w:rPr>
                <w:sz w:val="19"/>
                <w:szCs w:val="19"/>
              </w:rPr>
              <w:t>K</w:t>
            </w:r>
          </w:p>
        </w:tc>
        <w:tc>
          <w:tcPr>
            <w:tcW w:w="2200" w:type="dxa"/>
            <w:shd w:val="clear" w:color="auto" w:fill="F2F2F2"/>
            <w:tcMar>
              <w:top w:w="60" w:type="dxa"/>
              <w:left w:w="80" w:type="dxa"/>
              <w:bottom w:w="60" w:type="dxa"/>
              <w:right w:w="80" w:type="dxa"/>
            </w:tcMar>
          </w:tcPr>
          <w:p w14:paraId="7320CD33" w14:textId="77777777" w:rsidR="006624C7" w:rsidRDefault="00B50FEC">
            <w:pPr>
              <w:spacing w:before="30" w:after="30"/>
            </w:pPr>
            <w:r>
              <w:rPr>
                <w:sz w:val="19"/>
                <w:szCs w:val="19"/>
              </w:rPr>
              <w:t>Listed for Rent on Property Website</w:t>
            </w:r>
          </w:p>
        </w:tc>
        <w:tc>
          <w:tcPr>
            <w:tcW w:w="7305" w:type="dxa"/>
            <w:shd w:val="clear" w:color="auto" w:fill="F2F2F2"/>
            <w:tcMar>
              <w:top w:w="60" w:type="dxa"/>
              <w:left w:w="80" w:type="dxa"/>
              <w:bottom w:w="60" w:type="dxa"/>
              <w:right w:w="80" w:type="dxa"/>
            </w:tcMar>
          </w:tcPr>
          <w:p w14:paraId="7320CD34" w14:textId="77777777" w:rsidR="006624C7" w:rsidRDefault="00B50FEC">
            <w:pPr>
              <w:spacing w:before="30" w:after="30"/>
            </w:pPr>
            <w:r>
              <w:rPr>
                <w:sz w:val="19"/>
                <w:szCs w:val="19"/>
              </w:rPr>
              <w:t>Hardcoded field — manually entered "Yes" or "No" by the analyst to flag whether the unit is actively listed.</w:t>
            </w:r>
          </w:p>
        </w:tc>
      </w:tr>
    </w:tbl>
    <w:p w14:paraId="7320CD36" w14:textId="77777777" w:rsidR="006624C7" w:rsidRDefault="006624C7">
      <w:pPr>
        <w:spacing w:after="160"/>
      </w:pPr>
    </w:p>
    <w:p w14:paraId="7320CD37" w14:textId="77777777" w:rsidR="006624C7" w:rsidRDefault="00B50FEC">
      <w:pPr>
        <w:pStyle w:val="Heading2"/>
      </w:pPr>
      <w:proofErr w:type="gramStart"/>
      <w:r>
        <w:t>3.3  Rent</w:t>
      </w:r>
      <w:proofErr w:type="gramEnd"/>
      <w:r>
        <w:t xml:space="preserve"> &amp; Vacancy Metrics (L – N)</w:t>
      </w:r>
    </w:p>
    <w:p w14:paraId="7320CD38" w14:textId="77777777" w:rsidR="006624C7" w:rsidRDefault="006624C7">
      <w:pPr>
        <w:spacing w:after="6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795"/>
      </w:tblGrid>
      <w:tr w:rsidR="006624C7" w14:paraId="7320CD3A"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D39" w14:textId="77777777" w:rsidR="006624C7" w:rsidRDefault="00B50FEC">
            <w:r>
              <w:rPr>
                <w:b/>
                <w:bCs/>
                <w:color w:val="FFFFFF"/>
                <w:sz w:val="19"/>
                <w:szCs w:val="19"/>
              </w:rPr>
              <w:t>Col L — Rent Amount (</w:t>
            </w:r>
            <w:proofErr w:type="spellStart"/>
            <w:r>
              <w:rPr>
                <w:b/>
                <w:bCs/>
                <w:color w:val="FFFFFF"/>
                <w:sz w:val="19"/>
                <w:szCs w:val="19"/>
              </w:rPr>
              <w:t>Avg</w:t>
            </w:r>
            <w:proofErr w:type="spellEnd"/>
            <w:r>
              <w:rPr>
                <w:b/>
                <w:bCs/>
                <w:color w:val="FFFFFF"/>
                <w:sz w:val="19"/>
                <w:szCs w:val="19"/>
              </w:rPr>
              <w:t xml:space="preserve"> Rent for Unit Type at Property)</w:t>
            </w:r>
          </w:p>
        </w:tc>
      </w:tr>
      <w:tr w:rsidR="006624C7" w14:paraId="7320CD3D"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3B" w14:textId="77777777" w:rsidR="006624C7" w:rsidRDefault="00B50FEC">
            <w:r>
              <w:rPr>
                <w:b/>
                <w:bCs/>
                <w:color w:val="2E75B6"/>
                <w:sz w:val="19"/>
                <w:szCs w:val="19"/>
              </w:rPr>
              <w:t>Formula</w:t>
            </w:r>
          </w:p>
        </w:tc>
        <w:tc>
          <w:tcPr>
            <w:tcW w:w="8795" w:type="dxa"/>
            <w:shd w:val="clear" w:color="auto" w:fill="F8F0FF"/>
            <w:tcMar>
              <w:top w:w="80" w:type="dxa"/>
              <w:left w:w="120" w:type="dxa"/>
              <w:bottom w:w="80" w:type="dxa"/>
              <w:right w:w="120" w:type="dxa"/>
            </w:tcMar>
          </w:tcPr>
          <w:p w14:paraId="7320CD3C" w14:textId="77777777" w:rsidR="006624C7" w:rsidRDefault="00B50FEC">
            <w:proofErr w:type="gramStart"/>
            <w:r>
              <w:rPr>
                <w:rFonts w:ascii="Courier New" w:eastAsia="Courier New" w:hAnsi="Courier New" w:cs="Courier New"/>
                <w:color w:val="7030A0"/>
              </w:rPr>
              <w:t>IFERROR(AVERAGEIFS(RR!F</w:t>
            </w:r>
            <w:proofErr w:type="gramEnd"/>
            <w:r>
              <w:rPr>
                <w:rFonts w:ascii="Courier New" w:eastAsia="Courier New" w:hAnsi="Courier New" w:cs="Courier New"/>
                <w:color w:val="7030A0"/>
              </w:rPr>
              <w:t xml:space="preserve">:F, </w:t>
            </w:r>
            <w:proofErr w:type="gramStart"/>
            <w:r>
              <w:rPr>
                <w:rFonts w:ascii="Courier New" w:eastAsia="Courier New" w:hAnsi="Courier New" w:cs="Courier New"/>
                <w:color w:val="7030A0"/>
              </w:rPr>
              <w:t>RR!L</w:t>
            </w:r>
            <w:proofErr w:type="gramEnd"/>
            <w:r>
              <w:rPr>
                <w:rFonts w:ascii="Courier New" w:eastAsia="Courier New" w:hAnsi="Courier New" w:cs="Courier New"/>
                <w:color w:val="7030A0"/>
              </w:rPr>
              <w:t xml:space="preserve">:L, </w:t>
            </w:r>
            <w:proofErr w:type="spellStart"/>
            <w:r>
              <w:rPr>
                <w:rFonts w:ascii="Courier New" w:eastAsia="Courier New" w:hAnsi="Courier New" w:cs="Courier New"/>
                <w:color w:val="7030A0"/>
              </w:rPr>
              <w:t>PropertyName</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RR!T</w:t>
            </w:r>
            <w:proofErr w:type="gramEnd"/>
            <w:r>
              <w:rPr>
                <w:rFonts w:ascii="Courier New" w:eastAsia="Courier New" w:hAnsi="Courier New" w:cs="Courier New"/>
                <w:color w:val="7030A0"/>
              </w:rPr>
              <w:t xml:space="preserve">:T, </w:t>
            </w:r>
            <w:proofErr w:type="spellStart"/>
            <w:r>
              <w:rPr>
                <w:rFonts w:ascii="Courier New" w:eastAsia="Courier New" w:hAnsi="Courier New" w:cs="Courier New"/>
                <w:color w:val="7030A0"/>
              </w:rPr>
              <w:t>UnitType</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RR!F</w:t>
            </w:r>
            <w:proofErr w:type="gramEnd"/>
            <w:r>
              <w:rPr>
                <w:rFonts w:ascii="Courier New" w:eastAsia="Courier New" w:hAnsi="Courier New" w:cs="Courier New"/>
                <w:color w:val="7030A0"/>
              </w:rPr>
              <w:t>:F, "&gt;0"), "")</w:t>
            </w:r>
          </w:p>
        </w:tc>
      </w:tr>
      <w:tr w:rsidR="006624C7" w14:paraId="7320CD40"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3E" w14:textId="77777777" w:rsidR="006624C7" w:rsidRDefault="00B50FEC">
            <w:r>
              <w:rPr>
                <w:b/>
                <w:bCs/>
                <w:color w:val="2E75B6"/>
                <w:sz w:val="19"/>
                <w:szCs w:val="19"/>
              </w:rPr>
              <w:t>Logic</w:t>
            </w:r>
          </w:p>
        </w:tc>
        <w:tc>
          <w:tcPr>
            <w:tcW w:w="8795" w:type="dxa"/>
            <w:tcMar>
              <w:top w:w="80" w:type="dxa"/>
              <w:left w:w="120" w:type="dxa"/>
              <w:bottom w:w="80" w:type="dxa"/>
              <w:right w:w="120" w:type="dxa"/>
            </w:tcMar>
          </w:tcPr>
          <w:p w14:paraId="7320CD3F" w14:textId="77777777" w:rsidR="006624C7" w:rsidRDefault="00B50FEC">
            <w:r>
              <w:rPr>
                <w:sz w:val="19"/>
                <w:szCs w:val="19"/>
              </w:rPr>
              <w:t>Computes the average rent across all occupied units of the same unit type at the same property using AVERAGEIFS with three criteria: matching property name (from Lookup via INDEX/MATCH), matching unit type, and a positive rent amount. This benchmarks what comparable stabilized units are currently renting for.</w:t>
            </w:r>
          </w:p>
        </w:tc>
      </w:tr>
    </w:tbl>
    <w:p w14:paraId="7320CD41" w14:textId="77777777" w:rsidR="006624C7" w:rsidRDefault="006624C7">
      <w:pPr>
        <w:spacing w:after="8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795"/>
      </w:tblGrid>
      <w:tr w:rsidR="006624C7" w14:paraId="7320CD43"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D42" w14:textId="77777777" w:rsidR="006624C7" w:rsidRDefault="00B50FEC">
            <w:r>
              <w:rPr>
                <w:b/>
                <w:bCs/>
                <w:color w:val="FFFFFF"/>
                <w:sz w:val="19"/>
                <w:szCs w:val="19"/>
              </w:rPr>
              <w:t>Col M — Days Vacant</w:t>
            </w:r>
          </w:p>
        </w:tc>
      </w:tr>
      <w:tr w:rsidR="006624C7" w14:paraId="7320CD46"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44" w14:textId="77777777" w:rsidR="006624C7" w:rsidRDefault="00B50FEC">
            <w:r>
              <w:rPr>
                <w:b/>
                <w:bCs/>
                <w:color w:val="2E75B6"/>
                <w:sz w:val="19"/>
                <w:szCs w:val="19"/>
              </w:rPr>
              <w:t>Formula</w:t>
            </w:r>
          </w:p>
        </w:tc>
        <w:tc>
          <w:tcPr>
            <w:tcW w:w="8795" w:type="dxa"/>
            <w:shd w:val="clear" w:color="auto" w:fill="F8F0FF"/>
            <w:tcMar>
              <w:top w:w="80" w:type="dxa"/>
              <w:left w:w="120" w:type="dxa"/>
              <w:bottom w:w="80" w:type="dxa"/>
              <w:right w:w="120" w:type="dxa"/>
            </w:tcMar>
          </w:tcPr>
          <w:p w14:paraId="7320CD45" w14:textId="77777777" w:rsidR="006624C7" w:rsidRDefault="00B50FEC">
            <w:proofErr w:type="gramStart"/>
            <w:r>
              <w:rPr>
                <w:rFonts w:ascii="Courier New" w:eastAsia="Courier New" w:hAnsi="Courier New" w:cs="Courier New"/>
                <w:color w:val="7030A0"/>
              </w:rPr>
              <w:t>VLOOKUP(CONCAT(</w:t>
            </w:r>
            <w:proofErr w:type="gramEnd"/>
            <w:r>
              <w:rPr>
                <w:rFonts w:ascii="Courier New" w:eastAsia="Courier New" w:hAnsi="Courier New" w:cs="Courier New"/>
                <w:color w:val="7030A0"/>
              </w:rPr>
              <w:t xml:space="preserve">C, </w:t>
            </w:r>
            <w:proofErr w:type="spellStart"/>
            <w:r>
              <w:rPr>
                <w:rFonts w:ascii="Courier New" w:eastAsia="Courier New" w:hAnsi="Courier New" w:cs="Courier New"/>
                <w:color w:val="7030A0"/>
              </w:rPr>
              <w:t>EntityName</w:t>
            </w:r>
            <w:proofErr w:type="spellEnd"/>
            <w:r>
              <w:rPr>
                <w:rFonts w:ascii="Courier New" w:eastAsia="Courier New" w:hAnsi="Courier New" w:cs="Courier New"/>
                <w:color w:val="7030A0"/>
              </w:rPr>
              <w:t xml:space="preserve">), </w:t>
            </w:r>
            <w:proofErr w:type="spellStart"/>
            <w:proofErr w:type="gramStart"/>
            <w:r>
              <w:rPr>
                <w:rFonts w:ascii="Courier New" w:eastAsia="Courier New" w:hAnsi="Courier New" w:cs="Courier New"/>
                <w:color w:val="7030A0"/>
              </w:rPr>
              <w:t>UnitTypeVacancy!A</w:t>
            </w:r>
            <w:proofErr w:type="gramEnd"/>
            <w:r>
              <w:rPr>
                <w:rFonts w:ascii="Courier New" w:eastAsia="Courier New" w:hAnsi="Courier New" w:cs="Courier New"/>
                <w:color w:val="7030A0"/>
              </w:rPr>
              <w:t>:H</w:t>
            </w:r>
            <w:proofErr w:type="spellEnd"/>
            <w:r>
              <w:rPr>
                <w:rFonts w:ascii="Courier New" w:eastAsia="Courier New" w:hAnsi="Courier New" w:cs="Courier New"/>
                <w:color w:val="7030A0"/>
              </w:rPr>
              <w:t>, 8, FALSE)</w:t>
            </w:r>
          </w:p>
        </w:tc>
      </w:tr>
      <w:tr w:rsidR="006624C7" w14:paraId="7320CD49"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47" w14:textId="77777777" w:rsidR="006624C7" w:rsidRDefault="00B50FEC">
            <w:r>
              <w:rPr>
                <w:b/>
                <w:bCs/>
                <w:color w:val="2E75B6"/>
                <w:sz w:val="19"/>
                <w:szCs w:val="19"/>
              </w:rPr>
              <w:t>Logic</w:t>
            </w:r>
          </w:p>
        </w:tc>
        <w:tc>
          <w:tcPr>
            <w:tcW w:w="8795" w:type="dxa"/>
            <w:tcMar>
              <w:top w:w="80" w:type="dxa"/>
              <w:left w:w="120" w:type="dxa"/>
              <w:bottom w:w="80" w:type="dxa"/>
              <w:right w:w="120" w:type="dxa"/>
            </w:tcMar>
          </w:tcPr>
          <w:p w14:paraId="7320CD48" w14:textId="77777777" w:rsidR="006624C7" w:rsidRDefault="00B50FEC">
            <w:r>
              <w:rPr>
                <w:sz w:val="19"/>
                <w:szCs w:val="19"/>
              </w:rPr>
              <w:t>Pulls the number of days the unit has been vacant directly from the Unit Type Vacancy sheet (column 8). This is computed upstream in that sheet from current date minus move-out date.</w:t>
            </w:r>
          </w:p>
        </w:tc>
      </w:tr>
    </w:tbl>
    <w:p w14:paraId="7320CD4A" w14:textId="77777777" w:rsidR="006624C7" w:rsidRDefault="006624C7">
      <w:pPr>
        <w:spacing w:after="80"/>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615"/>
      </w:tblGrid>
      <w:tr w:rsidR="006624C7" w14:paraId="7320CD4C" w14:textId="77777777" w:rsidTr="00FA6877">
        <w:tblPrEx>
          <w:tblCellMar>
            <w:top w:w="0" w:type="dxa"/>
            <w:bottom w:w="0" w:type="dxa"/>
          </w:tblCellMar>
        </w:tblPrEx>
        <w:tc>
          <w:tcPr>
            <w:tcW w:w="10615" w:type="dxa"/>
            <w:gridSpan w:val="2"/>
            <w:shd w:val="clear" w:color="auto" w:fill="2E75B6"/>
            <w:tcMar>
              <w:top w:w="80" w:type="dxa"/>
              <w:left w:w="120" w:type="dxa"/>
              <w:bottom w:w="80" w:type="dxa"/>
              <w:right w:w="120" w:type="dxa"/>
            </w:tcMar>
          </w:tcPr>
          <w:p w14:paraId="7320CD4B" w14:textId="77777777" w:rsidR="006624C7" w:rsidRDefault="00B50FEC">
            <w:r>
              <w:rPr>
                <w:b/>
                <w:bCs/>
                <w:color w:val="FFFFFF"/>
                <w:sz w:val="19"/>
                <w:szCs w:val="19"/>
              </w:rPr>
              <w:lastRenderedPageBreak/>
              <w:t>Col N — Vacancy Aging (Array Formula)</w:t>
            </w:r>
          </w:p>
        </w:tc>
      </w:tr>
      <w:tr w:rsidR="006624C7" w14:paraId="7320CD4F"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4D" w14:textId="77777777" w:rsidR="006624C7" w:rsidRDefault="00B50FEC">
            <w:r>
              <w:rPr>
                <w:b/>
                <w:bCs/>
                <w:color w:val="2E75B6"/>
                <w:sz w:val="19"/>
                <w:szCs w:val="19"/>
              </w:rPr>
              <w:t>Formula</w:t>
            </w:r>
          </w:p>
        </w:tc>
        <w:tc>
          <w:tcPr>
            <w:tcW w:w="8615" w:type="dxa"/>
            <w:shd w:val="clear" w:color="auto" w:fill="F8F0FF"/>
            <w:tcMar>
              <w:top w:w="80" w:type="dxa"/>
              <w:left w:w="120" w:type="dxa"/>
              <w:bottom w:w="80" w:type="dxa"/>
              <w:right w:w="120" w:type="dxa"/>
            </w:tcMar>
          </w:tcPr>
          <w:p w14:paraId="7320CD4E" w14:textId="77777777" w:rsidR="006624C7" w:rsidRDefault="00B50FEC">
            <w:r>
              <w:rPr>
                <w:rFonts w:ascii="Courier New" w:eastAsia="Courier New" w:hAnsi="Courier New" w:cs="Courier New"/>
                <w:color w:val="7030A0"/>
              </w:rPr>
              <w:t>{=</w:t>
            </w:r>
            <w:proofErr w:type="gramStart"/>
            <w:r>
              <w:rPr>
                <w:rFonts w:ascii="Courier New" w:eastAsia="Courier New" w:hAnsi="Courier New" w:cs="Courier New"/>
                <w:color w:val="7030A0"/>
              </w:rPr>
              <w:t>IF(</w:t>
            </w:r>
            <w:proofErr w:type="gramEnd"/>
            <w:r>
              <w:rPr>
                <w:rFonts w:ascii="Courier New" w:eastAsia="Courier New" w:hAnsi="Courier New" w:cs="Courier New"/>
                <w:color w:val="7030A0"/>
              </w:rPr>
              <w:t xml:space="preserve">M9&lt;=30,"0-30 </w:t>
            </w:r>
            <w:proofErr w:type="spellStart"/>
            <w:r>
              <w:rPr>
                <w:rFonts w:ascii="Courier New" w:eastAsia="Courier New" w:hAnsi="Courier New" w:cs="Courier New"/>
                <w:color w:val="7030A0"/>
              </w:rPr>
              <w:t>Days</w:t>
            </w:r>
            <w:proofErr w:type="gramStart"/>
            <w:r>
              <w:rPr>
                <w:rFonts w:ascii="Courier New" w:eastAsia="Courier New" w:hAnsi="Courier New" w:cs="Courier New"/>
                <w:color w:val="7030A0"/>
              </w:rPr>
              <w:t>",IF</w:t>
            </w:r>
            <w:proofErr w:type="spellEnd"/>
            <w:proofErr w:type="gramEnd"/>
            <w:r>
              <w:rPr>
                <w:rFonts w:ascii="Courier New" w:eastAsia="Courier New" w:hAnsi="Courier New" w:cs="Courier New"/>
                <w:color w:val="7030A0"/>
              </w:rPr>
              <w:t xml:space="preserve">(M9&lt;=60,"31-60 </w:t>
            </w:r>
            <w:proofErr w:type="spellStart"/>
            <w:r>
              <w:rPr>
                <w:rFonts w:ascii="Courier New" w:eastAsia="Courier New" w:hAnsi="Courier New" w:cs="Courier New"/>
                <w:color w:val="7030A0"/>
              </w:rPr>
              <w:t>Days</w:t>
            </w:r>
            <w:proofErr w:type="gramStart"/>
            <w:r>
              <w:rPr>
                <w:rFonts w:ascii="Courier New" w:eastAsia="Courier New" w:hAnsi="Courier New" w:cs="Courier New"/>
                <w:color w:val="7030A0"/>
              </w:rPr>
              <w:t>",IF</w:t>
            </w:r>
            <w:proofErr w:type="spellEnd"/>
            <w:proofErr w:type="gramEnd"/>
            <w:r>
              <w:rPr>
                <w:rFonts w:ascii="Courier New" w:eastAsia="Courier New" w:hAnsi="Courier New" w:cs="Courier New"/>
                <w:color w:val="7030A0"/>
              </w:rPr>
              <w:t xml:space="preserve">(M9&lt;=90,"61-90 </w:t>
            </w:r>
            <w:proofErr w:type="spellStart"/>
            <w:r>
              <w:rPr>
                <w:rFonts w:ascii="Courier New" w:eastAsia="Courier New" w:hAnsi="Courier New" w:cs="Courier New"/>
                <w:color w:val="7030A0"/>
              </w:rPr>
              <w:t>Days</w:t>
            </w:r>
            <w:proofErr w:type="gramStart"/>
            <w:r>
              <w:rPr>
                <w:rFonts w:ascii="Courier New" w:eastAsia="Courier New" w:hAnsi="Courier New" w:cs="Courier New"/>
                <w:color w:val="7030A0"/>
              </w:rPr>
              <w:t>",IF</w:t>
            </w:r>
            <w:proofErr w:type="spellEnd"/>
            <w:proofErr w:type="gramEnd"/>
            <w:r>
              <w:rPr>
                <w:rFonts w:ascii="Courier New" w:eastAsia="Courier New" w:hAnsi="Courier New" w:cs="Courier New"/>
                <w:color w:val="7030A0"/>
              </w:rPr>
              <w:t xml:space="preserve">(M9&lt;=180,"91-180 </w:t>
            </w:r>
            <w:proofErr w:type="spellStart"/>
            <w:r>
              <w:rPr>
                <w:rFonts w:ascii="Courier New" w:eastAsia="Courier New" w:hAnsi="Courier New" w:cs="Courier New"/>
                <w:color w:val="7030A0"/>
              </w:rPr>
              <w:t>Days</w:t>
            </w:r>
            <w:proofErr w:type="gramStart"/>
            <w:r>
              <w:rPr>
                <w:rFonts w:ascii="Courier New" w:eastAsia="Courier New" w:hAnsi="Courier New" w:cs="Courier New"/>
                <w:color w:val="7030A0"/>
              </w:rPr>
              <w:t>",IF</w:t>
            </w:r>
            <w:proofErr w:type="spellEnd"/>
            <w:proofErr w:type="gramEnd"/>
            <w:r>
              <w:rPr>
                <w:rFonts w:ascii="Courier New" w:eastAsia="Courier New" w:hAnsi="Courier New" w:cs="Courier New"/>
                <w:color w:val="7030A0"/>
              </w:rPr>
              <w:t>(M9&lt;=365,"181-365 Days","365+ Days")))))}</w:t>
            </w:r>
          </w:p>
        </w:tc>
      </w:tr>
      <w:tr w:rsidR="006624C7" w14:paraId="7320CD52"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50" w14:textId="77777777" w:rsidR="006624C7" w:rsidRDefault="00B50FEC">
            <w:r>
              <w:rPr>
                <w:b/>
                <w:bCs/>
                <w:color w:val="2E75B6"/>
                <w:sz w:val="19"/>
                <w:szCs w:val="19"/>
              </w:rPr>
              <w:t>Logic</w:t>
            </w:r>
          </w:p>
        </w:tc>
        <w:tc>
          <w:tcPr>
            <w:tcW w:w="8615" w:type="dxa"/>
            <w:tcMar>
              <w:top w:w="80" w:type="dxa"/>
              <w:left w:w="120" w:type="dxa"/>
              <w:bottom w:w="80" w:type="dxa"/>
              <w:right w:w="120" w:type="dxa"/>
            </w:tcMar>
          </w:tcPr>
          <w:p w14:paraId="7320CD51" w14:textId="77777777" w:rsidR="006624C7" w:rsidRDefault="00B50FEC">
            <w:r>
              <w:rPr>
                <w:sz w:val="19"/>
                <w:szCs w:val="19"/>
              </w:rPr>
              <w:t>Array formula that buckets days vacant into six aging tiers: 0–30, 31–60, 61–90, 91–180, 181–365, and 365+ days. These tiers drive the Vacancy Aging Distribution chart in the Visual Summary and are used for heat-map colouring.</w:t>
            </w:r>
          </w:p>
        </w:tc>
      </w:tr>
    </w:tbl>
    <w:p w14:paraId="7320CD53" w14:textId="77777777" w:rsidR="006624C7" w:rsidRDefault="006624C7">
      <w:pPr>
        <w:spacing w:after="160"/>
      </w:pPr>
    </w:p>
    <w:p w14:paraId="7320CD54" w14:textId="77777777" w:rsidR="006624C7" w:rsidRDefault="00B50FEC">
      <w:pPr>
        <w:pStyle w:val="Heading2"/>
      </w:pPr>
      <w:proofErr w:type="gramStart"/>
      <w:r>
        <w:t>3.4  Vacancy</w:t>
      </w:r>
      <w:proofErr w:type="gramEnd"/>
      <w:r>
        <w:t xml:space="preserve"> Reason Classification (O – P)</w:t>
      </w:r>
    </w:p>
    <w:p w14:paraId="7320CD55" w14:textId="77777777" w:rsidR="006624C7" w:rsidRDefault="006624C7">
      <w:pPr>
        <w:spacing w:after="60"/>
      </w:pPr>
    </w:p>
    <w:p w14:paraId="7320CD56" w14:textId="77777777" w:rsidR="006624C7" w:rsidRDefault="00B50FEC">
      <w:pPr>
        <w:spacing w:before="60" w:after="60"/>
      </w:pPr>
      <w:r>
        <w:rPr>
          <w:color w:val="1A1A1A"/>
          <w:sz w:val="22"/>
          <w:szCs w:val="22"/>
        </w:rPr>
        <w:t>These two columns work together: column O holds the free-text comment from the property manager, and column P automatically classifies that comment into a standardized reason category.</w:t>
      </w:r>
    </w:p>
    <w:p w14:paraId="7320CD57" w14:textId="77777777" w:rsidR="006624C7" w:rsidRDefault="006624C7">
      <w:pPr>
        <w:spacing w:after="80"/>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615"/>
      </w:tblGrid>
      <w:tr w:rsidR="006624C7" w14:paraId="7320CD59" w14:textId="77777777" w:rsidTr="00FA6877">
        <w:tblPrEx>
          <w:tblCellMar>
            <w:top w:w="0" w:type="dxa"/>
            <w:bottom w:w="0" w:type="dxa"/>
          </w:tblCellMar>
        </w:tblPrEx>
        <w:tc>
          <w:tcPr>
            <w:tcW w:w="10615" w:type="dxa"/>
            <w:gridSpan w:val="2"/>
            <w:shd w:val="clear" w:color="auto" w:fill="2E75B6"/>
            <w:tcMar>
              <w:top w:w="80" w:type="dxa"/>
              <w:left w:w="120" w:type="dxa"/>
              <w:bottom w:w="80" w:type="dxa"/>
              <w:right w:w="120" w:type="dxa"/>
            </w:tcMar>
          </w:tcPr>
          <w:p w14:paraId="7320CD58" w14:textId="77777777" w:rsidR="006624C7" w:rsidRDefault="00B50FEC">
            <w:r>
              <w:rPr>
                <w:b/>
                <w:bCs/>
                <w:color w:val="FFFFFF"/>
                <w:sz w:val="19"/>
                <w:szCs w:val="19"/>
              </w:rPr>
              <w:t>Col O — Comment (Free-Text)</w:t>
            </w:r>
          </w:p>
        </w:tc>
      </w:tr>
      <w:tr w:rsidR="006624C7" w14:paraId="7320CD5C"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5A" w14:textId="77777777" w:rsidR="006624C7" w:rsidRDefault="00B50FEC">
            <w:r>
              <w:rPr>
                <w:b/>
                <w:bCs/>
                <w:color w:val="2E75B6"/>
                <w:sz w:val="19"/>
                <w:szCs w:val="19"/>
              </w:rPr>
              <w:t>Formula</w:t>
            </w:r>
          </w:p>
        </w:tc>
        <w:tc>
          <w:tcPr>
            <w:tcW w:w="8615" w:type="dxa"/>
            <w:shd w:val="clear" w:color="auto" w:fill="F8F0FF"/>
            <w:tcMar>
              <w:top w:w="80" w:type="dxa"/>
              <w:left w:w="120" w:type="dxa"/>
              <w:bottom w:w="80" w:type="dxa"/>
              <w:right w:w="120" w:type="dxa"/>
            </w:tcMar>
          </w:tcPr>
          <w:p w14:paraId="7320CD5B" w14:textId="77777777" w:rsidR="006624C7" w:rsidRDefault="00B50FEC">
            <w:proofErr w:type="gramStart"/>
            <w:r>
              <w:rPr>
                <w:rFonts w:ascii="Courier New" w:eastAsia="Courier New" w:hAnsi="Courier New" w:cs="Courier New"/>
                <w:color w:val="7030A0"/>
              </w:rPr>
              <w:t>IFERROR(IF(VLOOKUP(CONCAT(</w:t>
            </w:r>
            <w:proofErr w:type="gramEnd"/>
            <w:r>
              <w:rPr>
                <w:rFonts w:ascii="Courier New" w:eastAsia="Courier New" w:hAnsi="Courier New" w:cs="Courier New"/>
                <w:color w:val="7030A0"/>
              </w:rPr>
              <w:t xml:space="preserve">C, </w:t>
            </w:r>
            <w:proofErr w:type="spellStart"/>
            <w:r>
              <w:rPr>
                <w:rFonts w:ascii="Courier New" w:eastAsia="Courier New" w:hAnsi="Courier New" w:cs="Courier New"/>
                <w:color w:val="7030A0"/>
              </w:rPr>
              <w:t>EntityName</w:t>
            </w:r>
            <w:proofErr w:type="spellEnd"/>
            <w:r>
              <w:rPr>
                <w:rFonts w:ascii="Courier New" w:eastAsia="Courier New" w:hAnsi="Courier New" w:cs="Courier New"/>
                <w:color w:val="7030A0"/>
              </w:rPr>
              <w:t xml:space="preserve">), </w:t>
            </w:r>
            <w:proofErr w:type="spellStart"/>
            <w:proofErr w:type="gramStart"/>
            <w:r>
              <w:rPr>
                <w:rFonts w:ascii="Courier New" w:eastAsia="Courier New" w:hAnsi="Courier New" w:cs="Courier New"/>
                <w:color w:val="7030A0"/>
              </w:rPr>
              <w:t>UnitTypeVacancy!A</w:t>
            </w:r>
            <w:proofErr w:type="gramEnd"/>
            <w:r>
              <w:rPr>
                <w:rFonts w:ascii="Courier New" w:eastAsia="Courier New" w:hAnsi="Courier New" w:cs="Courier New"/>
                <w:color w:val="7030A0"/>
              </w:rPr>
              <w:t>:F</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6)=</w:t>
            </w:r>
            <w:proofErr w:type="gramEnd"/>
            <w:r>
              <w:rPr>
                <w:rFonts w:ascii="Courier New" w:eastAsia="Courier New" w:hAnsi="Courier New" w:cs="Courier New"/>
                <w:color w:val="7030A0"/>
              </w:rPr>
              <w:t xml:space="preserve">0, "", </w:t>
            </w:r>
            <w:proofErr w:type="gramStart"/>
            <w:r>
              <w:rPr>
                <w:rFonts w:ascii="Courier New" w:eastAsia="Courier New" w:hAnsi="Courier New" w:cs="Courier New"/>
                <w:color w:val="7030A0"/>
              </w:rPr>
              <w:t>VLOOKUP(</w:t>
            </w:r>
            <w:proofErr w:type="gramEnd"/>
            <w:r>
              <w:rPr>
                <w:rFonts w:ascii="Courier New" w:eastAsia="Courier New" w:hAnsi="Courier New" w:cs="Courier New"/>
                <w:color w:val="7030A0"/>
              </w:rPr>
              <w:t>..., 6)), "")</w:t>
            </w:r>
          </w:p>
        </w:tc>
      </w:tr>
      <w:tr w:rsidR="006624C7" w14:paraId="7320CD5F"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5D" w14:textId="77777777" w:rsidR="006624C7" w:rsidRDefault="00B50FEC">
            <w:r>
              <w:rPr>
                <w:b/>
                <w:bCs/>
                <w:color w:val="2E75B6"/>
                <w:sz w:val="19"/>
                <w:szCs w:val="19"/>
              </w:rPr>
              <w:t>Logic</w:t>
            </w:r>
          </w:p>
        </w:tc>
        <w:tc>
          <w:tcPr>
            <w:tcW w:w="8615" w:type="dxa"/>
            <w:tcMar>
              <w:top w:w="80" w:type="dxa"/>
              <w:left w:w="120" w:type="dxa"/>
              <w:bottom w:w="80" w:type="dxa"/>
              <w:right w:w="120" w:type="dxa"/>
            </w:tcMar>
          </w:tcPr>
          <w:p w14:paraId="7320CD5E" w14:textId="77777777" w:rsidR="006624C7" w:rsidRDefault="00B50FEC">
            <w:r>
              <w:rPr>
                <w:sz w:val="19"/>
                <w:szCs w:val="19"/>
              </w:rPr>
              <w:t>Retrieves the property manager's free-text comment for the unit from column 6 of the Unit Type Vacancy sheet. Returns blank if empty.</w:t>
            </w:r>
          </w:p>
        </w:tc>
      </w:tr>
    </w:tbl>
    <w:p w14:paraId="7320CD60" w14:textId="77777777" w:rsidR="006624C7" w:rsidRDefault="006624C7">
      <w:pPr>
        <w:spacing w:after="80"/>
      </w:pP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615"/>
      </w:tblGrid>
      <w:tr w:rsidR="006624C7" w14:paraId="7320CD62" w14:textId="77777777" w:rsidTr="00FA6877">
        <w:tblPrEx>
          <w:tblCellMar>
            <w:top w:w="0" w:type="dxa"/>
            <w:bottom w:w="0" w:type="dxa"/>
          </w:tblCellMar>
        </w:tblPrEx>
        <w:tc>
          <w:tcPr>
            <w:tcW w:w="10615" w:type="dxa"/>
            <w:gridSpan w:val="2"/>
            <w:shd w:val="clear" w:color="auto" w:fill="2E75B6"/>
            <w:tcMar>
              <w:top w:w="80" w:type="dxa"/>
              <w:left w:w="120" w:type="dxa"/>
              <w:bottom w:w="80" w:type="dxa"/>
              <w:right w:w="120" w:type="dxa"/>
            </w:tcMar>
          </w:tcPr>
          <w:p w14:paraId="7320CD61" w14:textId="77777777" w:rsidR="006624C7" w:rsidRDefault="00B50FEC">
            <w:r>
              <w:rPr>
                <w:b/>
                <w:bCs/>
                <w:color w:val="FFFFFF"/>
                <w:sz w:val="19"/>
                <w:szCs w:val="19"/>
              </w:rPr>
              <w:t>Col P — Reason Category (Keyword Array Formula)</w:t>
            </w:r>
          </w:p>
        </w:tc>
      </w:tr>
      <w:tr w:rsidR="006624C7" w14:paraId="7320CD65"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63" w14:textId="77777777" w:rsidR="006624C7" w:rsidRDefault="00B50FEC">
            <w:r>
              <w:rPr>
                <w:b/>
                <w:bCs/>
                <w:color w:val="2E75B6"/>
                <w:sz w:val="19"/>
                <w:szCs w:val="19"/>
              </w:rPr>
              <w:t>Formula</w:t>
            </w:r>
          </w:p>
        </w:tc>
        <w:tc>
          <w:tcPr>
            <w:tcW w:w="8615" w:type="dxa"/>
            <w:shd w:val="clear" w:color="auto" w:fill="F8F0FF"/>
            <w:tcMar>
              <w:top w:w="80" w:type="dxa"/>
              <w:left w:w="120" w:type="dxa"/>
              <w:bottom w:w="80" w:type="dxa"/>
              <w:right w:w="120" w:type="dxa"/>
            </w:tcMar>
          </w:tcPr>
          <w:p w14:paraId="7320CD64" w14:textId="77777777" w:rsidR="006624C7" w:rsidRDefault="00B50FEC">
            <w:r>
              <w:rPr>
                <w:rFonts w:ascii="Courier New" w:eastAsia="Courier New" w:hAnsi="Courier New" w:cs="Courier New"/>
                <w:color w:val="7030A0"/>
              </w:rPr>
              <w:t>{=IFERROR(INDEX(</w:t>
            </w:r>
            <w:proofErr w:type="spellStart"/>
            <w:proofErr w:type="gramStart"/>
            <w:r>
              <w:rPr>
                <w:rFonts w:ascii="Courier New" w:eastAsia="Courier New" w:hAnsi="Courier New" w:cs="Courier New"/>
                <w:color w:val="7030A0"/>
              </w:rPr>
              <w:t>KeywordTable</w:t>
            </w:r>
            <w:proofErr w:type="spellEnd"/>
            <w:r>
              <w:rPr>
                <w:rFonts w:ascii="Courier New" w:eastAsia="Courier New" w:hAnsi="Courier New" w:cs="Courier New"/>
                <w:color w:val="7030A0"/>
              </w:rPr>
              <w:t>[</w:t>
            </w:r>
            <w:proofErr w:type="gramEnd"/>
            <w:r>
              <w:rPr>
                <w:rFonts w:ascii="Courier New" w:eastAsia="Courier New" w:hAnsi="Courier New" w:cs="Courier New"/>
                <w:color w:val="7030A0"/>
              </w:rPr>
              <w:t xml:space="preserve">Category], </w:t>
            </w:r>
            <w:proofErr w:type="gramStart"/>
            <w:r>
              <w:rPr>
                <w:rFonts w:ascii="Courier New" w:eastAsia="Courier New" w:hAnsi="Courier New" w:cs="Courier New"/>
                <w:color w:val="7030A0"/>
              </w:rPr>
              <w:t>MATCH(</w:t>
            </w:r>
            <w:proofErr w:type="gramEnd"/>
            <w:r>
              <w:rPr>
                <w:rFonts w:ascii="Courier New" w:eastAsia="Courier New" w:hAnsi="Courier New" w:cs="Courier New"/>
                <w:color w:val="7030A0"/>
              </w:rPr>
              <w:t>1, ISNUMBER(SEARCH(</w:t>
            </w:r>
            <w:proofErr w:type="spellStart"/>
            <w:proofErr w:type="gramStart"/>
            <w:r>
              <w:rPr>
                <w:rFonts w:ascii="Courier New" w:eastAsia="Courier New" w:hAnsi="Courier New" w:cs="Courier New"/>
                <w:color w:val="7030A0"/>
              </w:rPr>
              <w:t>KeywordTable</w:t>
            </w:r>
            <w:proofErr w:type="spellEnd"/>
            <w:r>
              <w:rPr>
                <w:rFonts w:ascii="Courier New" w:eastAsia="Courier New" w:hAnsi="Courier New" w:cs="Courier New"/>
                <w:color w:val="7030A0"/>
              </w:rPr>
              <w:t>[</w:t>
            </w:r>
            <w:proofErr w:type="gramEnd"/>
            <w:r>
              <w:rPr>
                <w:rFonts w:ascii="Courier New" w:eastAsia="Courier New" w:hAnsi="Courier New" w:cs="Courier New"/>
                <w:color w:val="7030A0"/>
              </w:rPr>
              <w:t>Keyword], O9)), 0)), "No Actionable Reason")}</w:t>
            </w:r>
          </w:p>
        </w:tc>
      </w:tr>
      <w:tr w:rsidR="006624C7" w14:paraId="7320CD68"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66" w14:textId="77777777" w:rsidR="006624C7" w:rsidRDefault="00B50FEC">
            <w:r>
              <w:rPr>
                <w:b/>
                <w:bCs/>
                <w:color w:val="2E75B6"/>
                <w:sz w:val="19"/>
                <w:szCs w:val="19"/>
              </w:rPr>
              <w:t>Logic</w:t>
            </w:r>
          </w:p>
        </w:tc>
        <w:tc>
          <w:tcPr>
            <w:tcW w:w="8615" w:type="dxa"/>
            <w:tcMar>
              <w:top w:w="80" w:type="dxa"/>
              <w:left w:w="120" w:type="dxa"/>
              <w:bottom w:w="80" w:type="dxa"/>
              <w:right w:w="120" w:type="dxa"/>
            </w:tcMar>
          </w:tcPr>
          <w:p w14:paraId="7320CD67" w14:textId="77777777" w:rsidR="006624C7" w:rsidRDefault="00B50FEC">
            <w:r>
              <w:rPr>
                <w:sz w:val="19"/>
                <w:szCs w:val="19"/>
              </w:rPr>
              <w:t>Array formula that scans the free-text Comment (col O) for any keyword in the reference table at rows 142–153. SEARCH is case-insensitive; ISNUMBER converts a match to TRUE; MATCH finds the first TRUE; INDEX returns the corresponding category. If no keyword matches, it returns "No Actionable Reason".</w:t>
            </w:r>
          </w:p>
        </w:tc>
      </w:tr>
    </w:tbl>
    <w:p w14:paraId="7320CD69" w14:textId="77777777" w:rsidR="006624C7" w:rsidRDefault="006624C7">
      <w:pPr>
        <w:spacing w:after="80"/>
      </w:pPr>
    </w:p>
    <w:p w14:paraId="7320CD6B" w14:textId="37908567" w:rsidR="006624C7" w:rsidRDefault="00B50FEC" w:rsidP="00FA6877">
      <w:pPr>
        <w:spacing w:before="60" w:after="60"/>
      </w:pPr>
      <w:r>
        <w:rPr>
          <w:color w:val="1A1A1A"/>
          <w:sz w:val="22"/>
          <w:szCs w:val="22"/>
        </w:rPr>
        <w:t>The keyword-to-category mapping (embedded in the Summary Sheet as a reference table) is:</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6085"/>
      </w:tblGrid>
      <w:tr w:rsidR="006624C7" w14:paraId="7320CD6F" w14:textId="77777777" w:rsidTr="00FA6877">
        <w:tblPrEx>
          <w:tblCellMar>
            <w:top w:w="0" w:type="dxa"/>
            <w:bottom w:w="0" w:type="dxa"/>
          </w:tblCellMar>
        </w:tblPrEx>
        <w:trPr>
          <w:tblHeader/>
        </w:trPr>
        <w:tc>
          <w:tcPr>
            <w:tcW w:w="2000" w:type="dxa"/>
            <w:shd w:val="clear" w:color="auto" w:fill="1F3864"/>
            <w:tcMar>
              <w:top w:w="80" w:type="dxa"/>
              <w:left w:w="80" w:type="dxa"/>
              <w:bottom w:w="80" w:type="dxa"/>
              <w:right w:w="80" w:type="dxa"/>
            </w:tcMar>
          </w:tcPr>
          <w:p w14:paraId="7320CD6C" w14:textId="77777777" w:rsidR="006624C7" w:rsidRDefault="00B50FEC">
            <w:pPr>
              <w:jc w:val="center"/>
            </w:pPr>
            <w:r>
              <w:rPr>
                <w:b/>
                <w:bCs/>
                <w:color w:val="FFFFFF"/>
                <w:sz w:val="19"/>
                <w:szCs w:val="19"/>
              </w:rPr>
              <w:t>Keyword (searched in Comment)</w:t>
            </w:r>
          </w:p>
        </w:tc>
        <w:tc>
          <w:tcPr>
            <w:tcW w:w="2800" w:type="dxa"/>
            <w:shd w:val="clear" w:color="auto" w:fill="1F3864"/>
            <w:tcMar>
              <w:top w:w="80" w:type="dxa"/>
              <w:left w:w="80" w:type="dxa"/>
              <w:bottom w:w="80" w:type="dxa"/>
              <w:right w:w="80" w:type="dxa"/>
            </w:tcMar>
          </w:tcPr>
          <w:p w14:paraId="7320CD6D" w14:textId="77777777" w:rsidR="006624C7" w:rsidRDefault="00B50FEC">
            <w:pPr>
              <w:jc w:val="center"/>
            </w:pPr>
            <w:r>
              <w:rPr>
                <w:b/>
                <w:bCs/>
                <w:color w:val="FFFFFF"/>
                <w:sz w:val="19"/>
                <w:szCs w:val="19"/>
              </w:rPr>
              <w:t>Reason Category</w:t>
            </w:r>
          </w:p>
        </w:tc>
        <w:tc>
          <w:tcPr>
            <w:tcW w:w="6085" w:type="dxa"/>
            <w:shd w:val="clear" w:color="auto" w:fill="1F3864"/>
            <w:tcMar>
              <w:top w:w="80" w:type="dxa"/>
              <w:left w:w="80" w:type="dxa"/>
              <w:bottom w:w="80" w:type="dxa"/>
              <w:right w:w="80" w:type="dxa"/>
            </w:tcMar>
          </w:tcPr>
          <w:p w14:paraId="7320CD6E" w14:textId="77777777" w:rsidR="006624C7" w:rsidRDefault="00B50FEC">
            <w:pPr>
              <w:jc w:val="center"/>
            </w:pPr>
            <w:r>
              <w:rPr>
                <w:b/>
                <w:bCs/>
                <w:color w:val="FFFFFF"/>
                <w:sz w:val="19"/>
                <w:szCs w:val="19"/>
              </w:rPr>
              <w:t>Suggested Next Step</w:t>
            </w:r>
          </w:p>
        </w:tc>
      </w:tr>
      <w:tr w:rsidR="006624C7" w14:paraId="7320CD73"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70" w14:textId="77777777" w:rsidR="006624C7" w:rsidRDefault="00B50FEC">
            <w:pPr>
              <w:spacing w:before="30" w:after="30"/>
            </w:pPr>
            <w:r>
              <w:rPr>
                <w:sz w:val="19"/>
                <w:szCs w:val="19"/>
              </w:rPr>
              <w:t>"</w:t>
            </w:r>
            <w:proofErr w:type="gramStart"/>
            <w:r>
              <w:rPr>
                <w:sz w:val="19"/>
                <w:szCs w:val="19"/>
              </w:rPr>
              <w:t>do</w:t>
            </w:r>
            <w:proofErr w:type="gramEnd"/>
            <w:r>
              <w:rPr>
                <w:sz w:val="19"/>
                <w:szCs w:val="19"/>
              </w:rPr>
              <w:t xml:space="preserve"> not re-rent"</w:t>
            </w:r>
          </w:p>
        </w:tc>
        <w:tc>
          <w:tcPr>
            <w:tcW w:w="2800" w:type="dxa"/>
            <w:shd w:val="clear" w:color="auto" w:fill="FFFFFF"/>
            <w:tcMar>
              <w:top w:w="60" w:type="dxa"/>
              <w:left w:w="80" w:type="dxa"/>
              <w:bottom w:w="60" w:type="dxa"/>
              <w:right w:w="80" w:type="dxa"/>
            </w:tcMar>
          </w:tcPr>
          <w:p w14:paraId="7320CD71" w14:textId="77777777" w:rsidR="006624C7" w:rsidRDefault="00B50FEC">
            <w:pPr>
              <w:spacing w:before="30" w:after="30"/>
            </w:pPr>
            <w:r>
              <w:rPr>
                <w:sz w:val="19"/>
                <w:szCs w:val="19"/>
              </w:rPr>
              <w:t>Management Hold / Do Not Re-rent</w:t>
            </w:r>
          </w:p>
        </w:tc>
        <w:tc>
          <w:tcPr>
            <w:tcW w:w="6085" w:type="dxa"/>
            <w:shd w:val="clear" w:color="auto" w:fill="FFFFFF"/>
            <w:tcMar>
              <w:top w:w="60" w:type="dxa"/>
              <w:left w:w="80" w:type="dxa"/>
              <w:bottom w:w="60" w:type="dxa"/>
              <w:right w:w="80" w:type="dxa"/>
            </w:tcMar>
          </w:tcPr>
          <w:p w14:paraId="7320CD72" w14:textId="77777777" w:rsidR="006624C7" w:rsidRDefault="00B50FEC">
            <w:pPr>
              <w:spacing w:before="30" w:after="30"/>
            </w:pPr>
            <w:r>
              <w:rPr>
                <w:sz w:val="19"/>
                <w:szCs w:val="19"/>
              </w:rPr>
              <w:t>Verify hold status with property manager/ownership; confirm before re-listing.</w:t>
            </w:r>
          </w:p>
        </w:tc>
      </w:tr>
      <w:tr w:rsidR="006624C7" w14:paraId="7320CD77"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74" w14:textId="77777777" w:rsidR="006624C7" w:rsidRDefault="00B50FEC">
            <w:pPr>
              <w:spacing w:before="30" w:after="30"/>
            </w:pPr>
            <w:r>
              <w:rPr>
                <w:sz w:val="19"/>
                <w:szCs w:val="19"/>
              </w:rPr>
              <w:t>"hold"</w:t>
            </w:r>
          </w:p>
        </w:tc>
        <w:tc>
          <w:tcPr>
            <w:tcW w:w="2800" w:type="dxa"/>
            <w:shd w:val="clear" w:color="auto" w:fill="F2F2F2"/>
            <w:tcMar>
              <w:top w:w="60" w:type="dxa"/>
              <w:left w:w="80" w:type="dxa"/>
              <w:bottom w:w="60" w:type="dxa"/>
              <w:right w:w="80" w:type="dxa"/>
            </w:tcMar>
          </w:tcPr>
          <w:p w14:paraId="7320CD75" w14:textId="77777777" w:rsidR="006624C7" w:rsidRDefault="00B50FEC">
            <w:pPr>
              <w:spacing w:before="30" w:after="30"/>
            </w:pPr>
            <w:r>
              <w:rPr>
                <w:sz w:val="19"/>
                <w:szCs w:val="19"/>
              </w:rPr>
              <w:t>Management Hold / Do Not Re-rent</w:t>
            </w:r>
          </w:p>
        </w:tc>
        <w:tc>
          <w:tcPr>
            <w:tcW w:w="6085" w:type="dxa"/>
            <w:shd w:val="clear" w:color="auto" w:fill="F2F2F2"/>
            <w:tcMar>
              <w:top w:w="60" w:type="dxa"/>
              <w:left w:w="80" w:type="dxa"/>
              <w:bottom w:w="60" w:type="dxa"/>
              <w:right w:w="80" w:type="dxa"/>
            </w:tcMar>
          </w:tcPr>
          <w:p w14:paraId="7320CD76" w14:textId="77777777" w:rsidR="006624C7" w:rsidRDefault="00B50FEC">
            <w:pPr>
              <w:spacing w:before="30" w:after="30"/>
            </w:pPr>
            <w:r>
              <w:rPr>
                <w:sz w:val="19"/>
                <w:szCs w:val="19"/>
              </w:rPr>
              <w:t>Verify hold status with property manager/ownership; confirm before re-listing.</w:t>
            </w:r>
          </w:p>
        </w:tc>
      </w:tr>
      <w:tr w:rsidR="006624C7" w14:paraId="7320CD7B"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78" w14:textId="77777777" w:rsidR="006624C7" w:rsidRDefault="00B50FEC">
            <w:pPr>
              <w:spacing w:before="30" w:after="30"/>
            </w:pPr>
            <w:r>
              <w:rPr>
                <w:sz w:val="19"/>
                <w:szCs w:val="19"/>
              </w:rPr>
              <w:t>"</w:t>
            </w:r>
            <w:proofErr w:type="spellStart"/>
            <w:r>
              <w:rPr>
                <w:sz w:val="19"/>
                <w:szCs w:val="19"/>
              </w:rPr>
              <w:t>renovat</w:t>
            </w:r>
            <w:proofErr w:type="spellEnd"/>
            <w:r>
              <w:rPr>
                <w:sz w:val="19"/>
                <w:szCs w:val="19"/>
              </w:rPr>
              <w:t>"</w:t>
            </w:r>
          </w:p>
        </w:tc>
        <w:tc>
          <w:tcPr>
            <w:tcW w:w="2800" w:type="dxa"/>
            <w:shd w:val="clear" w:color="auto" w:fill="FFFFFF"/>
            <w:tcMar>
              <w:top w:w="60" w:type="dxa"/>
              <w:left w:w="80" w:type="dxa"/>
              <w:bottom w:w="60" w:type="dxa"/>
              <w:right w:w="80" w:type="dxa"/>
            </w:tcMar>
          </w:tcPr>
          <w:p w14:paraId="7320CD79" w14:textId="77777777" w:rsidR="006624C7" w:rsidRDefault="00B50FEC">
            <w:pPr>
              <w:spacing w:before="30" w:after="30"/>
            </w:pPr>
            <w:r>
              <w:rPr>
                <w:sz w:val="19"/>
                <w:szCs w:val="19"/>
              </w:rPr>
              <w:t>Renovation</w:t>
            </w:r>
          </w:p>
        </w:tc>
        <w:tc>
          <w:tcPr>
            <w:tcW w:w="6085" w:type="dxa"/>
            <w:shd w:val="clear" w:color="auto" w:fill="FFFFFF"/>
            <w:tcMar>
              <w:top w:w="60" w:type="dxa"/>
              <w:left w:w="80" w:type="dxa"/>
              <w:bottom w:w="60" w:type="dxa"/>
              <w:right w:w="80" w:type="dxa"/>
            </w:tcMar>
          </w:tcPr>
          <w:p w14:paraId="7320CD7A" w14:textId="77777777" w:rsidR="006624C7" w:rsidRDefault="00B50FEC">
            <w:pPr>
              <w:spacing w:before="30" w:after="30"/>
            </w:pPr>
            <w:r>
              <w:rPr>
                <w:sz w:val="19"/>
                <w:szCs w:val="19"/>
              </w:rPr>
              <w:t>Confirm renovation scope and expected completion date with construction/capex team.</w:t>
            </w:r>
          </w:p>
        </w:tc>
      </w:tr>
      <w:tr w:rsidR="006624C7" w14:paraId="7320CD7F"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7C" w14:textId="77777777" w:rsidR="006624C7" w:rsidRDefault="00B50FEC">
            <w:pPr>
              <w:spacing w:before="30" w:after="30"/>
            </w:pPr>
            <w:r>
              <w:rPr>
                <w:sz w:val="19"/>
                <w:szCs w:val="19"/>
              </w:rPr>
              <w:t>"repair"</w:t>
            </w:r>
          </w:p>
        </w:tc>
        <w:tc>
          <w:tcPr>
            <w:tcW w:w="2800" w:type="dxa"/>
            <w:shd w:val="clear" w:color="auto" w:fill="F2F2F2"/>
            <w:tcMar>
              <w:top w:w="60" w:type="dxa"/>
              <w:left w:w="80" w:type="dxa"/>
              <w:bottom w:w="60" w:type="dxa"/>
              <w:right w:w="80" w:type="dxa"/>
            </w:tcMar>
          </w:tcPr>
          <w:p w14:paraId="7320CD7D" w14:textId="77777777" w:rsidR="006624C7" w:rsidRDefault="00B50FEC">
            <w:pPr>
              <w:spacing w:before="30" w:after="30"/>
            </w:pPr>
            <w:r>
              <w:rPr>
                <w:sz w:val="19"/>
                <w:szCs w:val="19"/>
              </w:rPr>
              <w:t>Major Repair</w:t>
            </w:r>
          </w:p>
        </w:tc>
        <w:tc>
          <w:tcPr>
            <w:tcW w:w="6085" w:type="dxa"/>
            <w:shd w:val="clear" w:color="auto" w:fill="F2F2F2"/>
            <w:tcMar>
              <w:top w:w="60" w:type="dxa"/>
              <w:left w:w="80" w:type="dxa"/>
              <w:bottom w:w="60" w:type="dxa"/>
              <w:right w:w="80" w:type="dxa"/>
            </w:tcMar>
          </w:tcPr>
          <w:p w14:paraId="7320CD7E" w14:textId="77777777" w:rsidR="006624C7" w:rsidRDefault="00B50FEC">
            <w:pPr>
              <w:spacing w:before="30" w:after="30"/>
            </w:pPr>
            <w:r>
              <w:rPr>
                <w:sz w:val="19"/>
                <w:szCs w:val="19"/>
              </w:rPr>
              <w:t>Escalate to maintenance for repair scope, cost estimate, and target completion date.</w:t>
            </w:r>
          </w:p>
        </w:tc>
      </w:tr>
      <w:tr w:rsidR="006624C7" w14:paraId="7320CD83"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80" w14:textId="77777777" w:rsidR="006624C7" w:rsidRDefault="00B50FEC">
            <w:pPr>
              <w:spacing w:before="30" w:after="30"/>
            </w:pPr>
            <w:r>
              <w:rPr>
                <w:sz w:val="19"/>
                <w:szCs w:val="19"/>
              </w:rPr>
              <w:t>"</w:t>
            </w:r>
            <w:proofErr w:type="gramStart"/>
            <w:r>
              <w:rPr>
                <w:sz w:val="19"/>
                <w:szCs w:val="19"/>
              </w:rPr>
              <w:t>too</w:t>
            </w:r>
            <w:proofErr w:type="gramEnd"/>
            <w:r>
              <w:rPr>
                <w:sz w:val="19"/>
                <w:szCs w:val="19"/>
              </w:rPr>
              <w:t xml:space="preserve"> low"</w:t>
            </w:r>
          </w:p>
        </w:tc>
        <w:tc>
          <w:tcPr>
            <w:tcW w:w="2800" w:type="dxa"/>
            <w:shd w:val="clear" w:color="auto" w:fill="FFFFFF"/>
            <w:tcMar>
              <w:top w:w="60" w:type="dxa"/>
              <w:left w:w="80" w:type="dxa"/>
              <w:bottom w:w="60" w:type="dxa"/>
              <w:right w:w="80" w:type="dxa"/>
            </w:tcMar>
          </w:tcPr>
          <w:p w14:paraId="7320CD81" w14:textId="77777777" w:rsidR="006624C7" w:rsidRDefault="00B50FEC">
            <w:pPr>
              <w:spacing w:before="30" w:after="30"/>
            </w:pPr>
            <w:r>
              <w:rPr>
                <w:sz w:val="19"/>
                <w:szCs w:val="19"/>
              </w:rPr>
              <w:t>Pricing Issue</w:t>
            </w:r>
          </w:p>
        </w:tc>
        <w:tc>
          <w:tcPr>
            <w:tcW w:w="6085" w:type="dxa"/>
            <w:shd w:val="clear" w:color="auto" w:fill="FFFFFF"/>
            <w:tcMar>
              <w:top w:w="60" w:type="dxa"/>
              <w:left w:w="80" w:type="dxa"/>
              <w:bottom w:w="60" w:type="dxa"/>
              <w:right w:w="80" w:type="dxa"/>
            </w:tcMar>
          </w:tcPr>
          <w:p w14:paraId="7320CD82" w14:textId="77777777" w:rsidR="006624C7" w:rsidRDefault="00B50FEC">
            <w:pPr>
              <w:spacing w:before="30" w:after="30"/>
            </w:pPr>
            <w:r>
              <w:rPr>
                <w:sz w:val="19"/>
                <w:szCs w:val="19"/>
              </w:rPr>
              <w:t>Review asking rent vs. market comps; adjust pricing to accelerate lease-up.</w:t>
            </w:r>
          </w:p>
        </w:tc>
      </w:tr>
      <w:tr w:rsidR="006624C7" w14:paraId="7320CD87"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84" w14:textId="77777777" w:rsidR="006624C7" w:rsidRDefault="00B50FEC">
            <w:pPr>
              <w:spacing w:before="30" w:after="30"/>
            </w:pPr>
            <w:r>
              <w:rPr>
                <w:sz w:val="19"/>
                <w:szCs w:val="19"/>
              </w:rPr>
              <w:t>"pricing"</w:t>
            </w:r>
          </w:p>
        </w:tc>
        <w:tc>
          <w:tcPr>
            <w:tcW w:w="2800" w:type="dxa"/>
            <w:shd w:val="clear" w:color="auto" w:fill="F2F2F2"/>
            <w:tcMar>
              <w:top w:w="60" w:type="dxa"/>
              <w:left w:w="80" w:type="dxa"/>
              <w:bottom w:w="60" w:type="dxa"/>
              <w:right w:w="80" w:type="dxa"/>
            </w:tcMar>
          </w:tcPr>
          <w:p w14:paraId="7320CD85" w14:textId="77777777" w:rsidR="006624C7" w:rsidRDefault="00B50FEC">
            <w:pPr>
              <w:spacing w:before="30" w:after="30"/>
            </w:pPr>
            <w:r>
              <w:rPr>
                <w:sz w:val="19"/>
                <w:szCs w:val="19"/>
              </w:rPr>
              <w:t>Pricing Issue</w:t>
            </w:r>
          </w:p>
        </w:tc>
        <w:tc>
          <w:tcPr>
            <w:tcW w:w="6085" w:type="dxa"/>
            <w:shd w:val="clear" w:color="auto" w:fill="F2F2F2"/>
            <w:tcMar>
              <w:top w:w="60" w:type="dxa"/>
              <w:left w:w="80" w:type="dxa"/>
              <w:bottom w:w="60" w:type="dxa"/>
              <w:right w:w="80" w:type="dxa"/>
            </w:tcMar>
          </w:tcPr>
          <w:p w14:paraId="7320CD86" w14:textId="77777777" w:rsidR="006624C7" w:rsidRDefault="00B50FEC">
            <w:pPr>
              <w:spacing w:before="30" w:after="30"/>
            </w:pPr>
            <w:r>
              <w:rPr>
                <w:sz w:val="19"/>
                <w:szCs w:val="19"/>
              </w:rPr>
              <w:t>Review asking rent vs. market comps; adjust pricing to accelerate lease-up.</w:t>
            </w:r>
          </w:p>
        </w:tc>
      </w:tr>
      <w:tr w:rsidR="006624C7" w14:paraId="7320CD8B"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88" w14:textId="77777777" w:rsidR="006624C7" w:rsidRDefault="00B50FEC">
            <w:pPr>
              <w:spacing w:before="30" w:after="30"/>
            </w:pPr>
            <w:r>
              <w:rPr>
                <w:sz w:val="19"/>
                <w:szCs w:val="19"/>
              </w:rPr>
              <w:t>"electric"</w:t>
            </w:r>
          </w:p>
        </w:tc>
        <w:tc>
          <w:tcPr>
            <w:tcW w:w="2800" w:type="dxa"/>
            <w:shd w:val="clear" w:color="auto" w:fill="FFFFFF"/>
            <w:tcMar>
              <w:top w:w="60" w:type="dxa"/>
              <w:left w:w="80" w:type="dxa"/>
              <w:bottom w:w="60" w:type="dxa"/>
              <w:right w:w="80" w:type="dxa"/>
            </w:tcMar>
          </w:tcPr>
          <w:p w14:paraId="7320CD89" w14:textId="77777777" w:rsidR="006624C7" w:rsidRDefault="00B50FEC">
            <w:pPr>
              <w:spacing w:before="30" w:after="30"/>
            </w:pPr>
            <w:r>
              <w:rPr>
                <w:sz w:val="19"/>
                <w:szCs w:val="19"/>
              </w:rPr>
              <w:t>Utility/Building Issue</w:t>
            </w:r>
          </w:p>
        </w:tc>
        <w:tc>
          <w:tcPr>
            <w:tcW w:w="6085" w:type="dxa"/>
            <w:shd w:val="clear" w:color="auto" w:fill="FFFFFF"/>
            <w:tcMar>
              <w:top w:w="60" w:type="dxa"/>
              <w:left w:w="80" w:type="dxa"/>
              <w:bottom w:w="60" w:type="dxa"/>
              <w:right w:w="80" w:type="dxa"/>
            </w:tcMar>
          </w:tcPr>
          <w:p w14:paraId="7320CD8A" w14:textId="77777777" w:rsidR="006624C7" w:rsidRDefault="00B50FEC">
            <w:pPr>
              <w:spacing w:before="30" w:after="30"/>
            </w:pPr>
            <w:r>
              <w:rPr>
                <w:sz w:val="19"/>
                <w:szCs w:val="19"/>
              </w:rPr>
              <w:t>Coordinate with maintenance/utility provider to resolve issue before re-listing.</w:t>
            </w:r>
          </w:p>
        </w:tc>
      </w:tr>
      <w:tr w:rsidR="006624C7" w14:paraId="7320CD8F"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8C" w14:textId="77777777" w:rsidR="006624C7" w:rsidRDefault="00B50FEC">
            <w:pPr>
              <w:spacing w:before="30" w:after="30"/>
            </w:pPr>
            <w:r>
              <w:rPr>
                <w:sz w:val="19"/>
                <w:szCs w:val="19"/>
              </w:rPr>
              <w:t>"plumbing"</w:t>
            </w:r>
          </w:p>
        </w:tc>
        <w:tc>
          <w:tcPr>
            <w:tcW w:w="2800" w:type="dxa"/>
            <w:shd w:val="clear" w:color="auto" w:fill="F2F2F2"/>
            <w:tcMar>
              <w:top w:w="60" w:type="dxa"/>
              <w:left w:w="80" w:type="dxa"/>
              <w:bottom w:w="60" w:type="dxa"/>
              <w:right w:w="80" w:type="dxa"/>
            </w:tcMar>
          </w:tcPr>
          <w:p w14:paraId="7320CD8D" w14:textId="77777777" w:rsidR="006624C7" w:rsidRDefault="00B50FEC">
            <w:pPr>
              <w:spacing w:before="30" w:after="30"/>
            </w:pPr>
            <w:r>
              <w:rPr>
                <w:sz w:val="19"/>
                <w:szCs w:val="19"/>
              </w:rPr>
              <w:t>Utility/Building Issue</w:t>
            </w:r>
          </w:p>
        </w:tc>
        <w:tc>
          <w:tcPr>
            <w:tcW w:w="6085" w:type="dxa"/>
            <w:shd w:val="clear" w:color="auto" w:fill="F2F2F2"/>
            <w:tcMar>
              <w:top w:w="60" w:type="dxa"/>
              <w:left w:w="80" w:type="dxa"/>
              <w:bottom w:w="60" w:type="dxa"/>
              <w:right w:w="80" w:type="dxa"/>
            </w:tcMar>
          </w:tcPr>
          <w:p w14:paraId="7320CD8E" w14:textId="77777777" w:rsidR="006624C7" w:rsidRDefault="00B50FEC">
            <w:pPr>
              <w:spacing w:before="30" w:after="30"/>
            </w:pPr>
            <w:r>
              <w:rPr>
                <w:sz w:val="19"/>
                <w:szCs w:val="19"/>
              </w:rPr>
              <w:t>Coordinate with maintenance/utility provider to resolve issue before re-listing.</w:t>
            </w:r>
          </w:p>
        </w:tc>
      </w:tr>
      <w:tr w:rsidR="006624C7" w14:paraId="7320CD93"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90" w14:textId="77777777" w:rsidR="006624C7" w:rsidRDefault="00B50FEC">
            <w:pPr>
              <w:spacing w:before="30" w:after="30"/>
            </w:pPr>
            <w:r>
              <w:rPr>
                <w:sz w:val="19"/>
                <w:szCs w:val="19"/>
              </w:rPr>
              <w:lastRenderedPageBreak/>
              <w:t>"basement"</w:t>
            </w:r>
          </w:p>
        </w:tc>
        <w:tc>
          <w:tcPr>
            <w:tcW w:w="2800" w:type="dxa"/>
            <w:shd w:val="clear" w:color="auto" w:fill="FFFFFF"/>
            <w:tcMar>
              <w:top w:w="60" w:type="dxa"/>
              <w:left w:w="80" w:type="dxa"/>
              <w:bottom w:w="60" w:type="dxa"/>
              <w:right w:w="80" w:type="dxa"/>
            </w:tcMar>
          </w:tcPr>
          <w:p w14:paraId="7320CD91" w14:textId="77777777" w:rsidR="006624C7" w:rsidRDefault="00B50FEC">
            <w:pPr>
              <w:spacing w:before="30" w:after="30"/>
            </w:pPr>
            <w:r>
              <w:rPr>
                <w:sz w:val="19"/>
                <w:szCs w:val="19"/>
              </w:rPr>
              <w:t>Utility/Building Issue</w:t>
            </w:r>
          </w:p>
        </w:tc>
        <w:tc>
          <w:tcPr>
            <w:tcW w:w="6085" w:type="dxa"/>
            <w:shd w:val="clear" w:color="auto" w:fill="FFFFFF"/>
            <w:tcMar>
              <w:top w:w="60" w:type="dxa"/>
              <w:left w:w="80" w:type="dxa"/>
              <w:bottom w:w="60" w:type="dxa"/>
              <w:right w:w="80" w:type="dxa"/>
            </w:tcMar>
          </w:tcPr>
          <w:p w14:paraId="7320CD92" w14:textId="77777777" w:rsidR="006624C7" w:rsidRDefault="00B50FEC">
            <w:pPr>
              <w:spacing w:before="30" w:after="30"/>
            </w:pPr>
            <w:r>
              <w:rPr>
                <w:sz w:val="19"/>
                <w:szCs w:val="19"/>
              </w:rPr>
              <w:t>Coordinate with maintenance/utility provider to resolve issue before re-listing.</w:t>
            </w:r>
          </w:p>
        </w:tc>
      </w:tr>
      <w:tr w:rsidR="006624C7" w14:paraId="7320CD97"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94" w14:textId="77777777" w:rsidR="006624C7" w:rsidRDefault="00B50FEC">
            <w:pPr>
              <w:spacing w:before="30" w:after="30"/>
            </w:pPr>
            <w:r>
              <w:rPr>
                <w:sz w:val="19"/>
                <w:szCs w:val="19"/>
              </w:rPr>
              <w:t>"</w:t>
            </w:r>
            <w:proofErr w:type="spellStart"/>
            <w:r>
              <w:rPr>
                <w:sz w:val="19"/>
                <w:szCs w:val="19"/>
              </w:rPr>
              <w:t>hvac</w:t>
            </w:r>
            <w:proofErr w:type="spellEnd"/>
            <w:r>
              <w:rPr>
                <w:sz w:val="19"/>
                <w:szCs w:val="19"/>
              </w:rPr>
              <w:t>"</w:t>
            </w:r>
          </w:p>
        </w:tc>
        <w:tc>
          <w:tcPr>
            <w:tcW w:w="2800" w:type="dxa"/>
            <w:shd w:val="clear" w:color="auto" w:fill="F2F2F2"/>
            <w:tcMar>
              <w:top w:w="60" w:type="dxa"/>
              <w:left w:w="80" w:type="dxa"/>
              <w:bottom w:w="60" w:type="dxa"/>
              <w:right w:w="80" w:type="dxa"/>
            </w:tcMar>
          </w:tcPr>
          <w:p w14:paraId="7320CD95" w14:textId="77777777" w:rsidR="006624C7" w:rsidRDefault="00B50FEC">
            <w:pPr>
              <w:spacing w:before="30" w:after="30"/>
            </w:pPr>
            <w:r>
              <w:rPr>
                <w:sz w:val="19"/>
                <w:szCs w:val="19"/>
              </w:rPr>
              <w:t>Utility/Building Issue</w:t>
            </w:r>
          </w:p>
        </w:tc>
        <w:tc>
          <w:tcPr>
            <w:tcW w:w="6085" w:type="dxa"/>
            <w:shd w:val="clear" w:color="auto" w:fill="F2F2F2"/>
            <w:tcMar>
              <w:top w:w="60" w:type="dxa"/>
              <w:left w:w="80" w:type="dxa"/>
              <w:bottom w:w="60" w:type="dxa"/>
              <w:right w:w="80" w:type="dxa"/>
            </w:tcMar>
          </w:tcPr>
          <w:p w14:paraId="7320CD96" w14:textId="77777777" w:rsidR="006624C7" w:rsidRDefault="00B50FEC">
            <w:pPr>
              <w:spacing w:before="30" w:after="30"/>
            </w:pPr>
            <w:r>
              <w:rPr>
                <w:sz w:val="19"/>
                <w:szCs w:val="19"/>
              </w:rPr>
              <w:t>Coordinate with maintenance/utility provider to resolve issue before re-listing.</w:t>
            </w:r>
          </w:p>
        </w:tc>
      </w:tr>
      <w:tr w:rsidR="006624C7" w14:paraId="7320CD9B" w14:textId="77777777" w:rsidTr="00FA6877">
        <w:tblPrEx>
          <w:tblCellMar>
            <w:top w:w="0" w:type="dxa"/>
            <w:bottom w:w="0" w:type="dxa"/>
          </w:tblCellMar>
        </w:tblPrEx>
        <w:tc>
          <w:tcPr>
            <w:tcW w:w="2000" w:type="dxa"/>
            <w:shd w:val="clear" w:color="auto" w:fill="FFFFFF"/>
            <w:tcMar>
              <w:top w:w="60" w:type="dxa"/>
              <w:left w:w="80" w:type="dxa"/>
              <w:bottom w:w="60" w:type="dxa"/>
              <w:right w:w="80" w:type="dxa"/>
            </w:tcMar>
          </w:tcPr>
          <w:p w14:paraId="7320CD98" w14:textId="77777777" w:rsidR="006624C7" w:rsidRDefault="00B50FEC">
            <w:pPr>
              <w:spacing w:before="30" w:after="30"/>
            </w:pPr>
            <w:r>
              <w:rPr>
                <w:sz w:val="19"/>
                <w:szCs w:val="19"/>
              </w:rPr>
              <w:t>"boiler"</w:t>
            </w:r>
          </w:p>
        </w:tc>
        <w:tc>
          <w:tcPr>
            <w:tcW w:w="2800" w:type="dxa"/>
            <w:shd w:val="clear" w:color="auto" w:fill="FFFFFF"/>
            <w:tcMar>
              <w:top w:w="60" w:type="dxa"/>
              <w:left w:w="80" w:type="dxa"/>
              <w:bottom w:w="60" w:type="dxa"/>
              <w:right w:w="80" w:type="dxa"/>
            </w:tcMar>
          </w:tcPr>
          <w:p w14:paraId="7320CD99" w14:textId="77777777" w:rsidR="006624C7" w:rsidRDefault="00B50FEC">
            <w:pPr>
              <w:spacing w:before="30" w:after="30"/>
            </w:pPr>
            <w:r>
              <w:rPr>
                <w:sz w:val="19"/>
                <w:szCs w:val="19"/>
              </w:rPr>
              <w:t>Utility/Building Issue</w:t>
            </w:r>
          </w:p>
        </w:tc>
        <w:tc>
          <w:tcPr>
            <w:tcW w:w="6085" w:type="dxa"/>
            <w:shd w:val="clear" w:color="auto" w:fill="FFFFFF"/>
            <w:tcMar>
              <w:top w:w="60" w:type="dxa"/>
              <w:left w:w="80" w:type="dxa"/>
              <w:bottom w:w="60" w:type="dxa"/>
              <w:right w:w="80" w:type="dxa"/>
            </w:tcMar>
          </w:tcPr>
          <w:p w14:paraId="7320CD9A" w14:textId="77777777" w:rsidR="006624C7" w:rsidRDefault="00B50FEC">
            <w:pPr>
              <w:spacing w:before="30" w:after="30"/>
            </w:pPr>
            <w:r>
              <w:rPr>
                <w:sz w:val="19"/>
                <w:szCs w:val="19"/>
              </w:rPr>
              <w:t>Coordinate with maintenance/utility provider to resolve issue before re-listing.</w:t>
            </w:r>
          </w:p>
        </w:tc>
      </w:tr>
      <w:tr w:rsidR="006624C7" w14:paraId="7320CD9F" w14:textId="77777777" w:rsidTr="00FA6877">
        <w:tblPrEx>
          <w:tblCellMar>
            <w:top w:w="0" w:type="dxa"/>
            <w:bottom w:w="0" w:type="dxa"/>
          </w:tblCellMar>
        </w:tblPrEx>
        <w:tc>
          <w:tcPr>
            <w:tcW w:w="2000" w:type="dxa"/>
            <w:shd w:val="clear" w:color="auto" w:fill="F2F2F2"/>
            <w:tcMar>
              <w:top w:w="60" w:type="dxa"/>
              <w:left w:w="80" w:type="dxa"/>
              <w:bottom w:w="60" w:type="dxa"/>
              <w:right w:w="80" w:type="dxa"/>
            </w:tcMar>
          </w:tcPr>
          <w:p w14:paraId="7320CD9C" w14:textId="77777777" w:rsidR="006624C7" w:rsidRDefault="00B50FEC">
            <w:pPr>
              <w:spacing w:before="30" w:after="30"/>
            </w:pPr>
            <w:r>
              <w:rPr>
                <w:sz w:val="19"/>
                <w:szCs w:val="19"/>
              </w:rPr>
              <w:t>(no match)</w:t>
            </w:r>
          </w:p>
        </w:tc>
        <w:tc>
          <w:tcPr>
            <w:tcW w:w="2800" w:type="dxa"/>
            <w:shd w:val="clear" w:color="auto" w:fill="F2F2F2"/>
            <w:tcMar>
              <w:top w:w="60" w:type="dxa"/>
              <w:left w:w="80" w:type="dxa"/>
              <w:bottom w:w="60" w:type="dxa"/>
              <w:right w:w="80" w:type="dxa"/>
            </w:tcMar>
          </w:tcPr>
          <w:p w14:paraId="7320CD9D" w14:textId="77777777" w:rsidR="006624C7" w:rsidRDefault="00B50FEC">
            <w:pPr>
              <w:spacing w:before="30" w:after="30"/>
            </w:pPr>
            <w:r>
              <w:rPr>
                <w:sz w:val="19"/>
                <w:szCs w:val="19"/>
              </w:rPr>
              <w:t>No Actionable Reason</w:t>
            </w:r>
          </w:p>
        </w:tc>
        <w:tc>
          <w:tcPr>
            <w:tcW w:w="6085" w:type="dxa"/>
            <w:shd w:val="clear" w:color="auto" w:fill="F2F2F2"/>
            <w:tcMar>
              <w:top w:w="60" w:type="dxa"/>
              <w:left w:w="80" w:type="dxa"/>
              <w:bottom w:w="60" w:type="dxa"/>
              <w:right w:w="80" w:type="dxa"/>
            </w:tcMar>
          </w:tcPr>
          <w:p w14:paraId="7320CD9E" w14:textId="77777777" w:rsidR="006624C7" w:rsidRDefault="00B50FEC">
            <w:pPr>
              <w:spacing w:before="30" w:after="30"/>
            </w:pPr>
            <w:r>
              <w:rPr>
                <w:sz w:val="19"/>
                <w:szCs w:val="19"/>
              </w:rPr>
              <w:t>—</w:t>
            </w:r>
          </w:p>
        </w:tc>
      </w:tr>
    </w:tbl>
    <w:p w14:paraId="7320CDA0" w14:textId="77777777" w:rsidR="006624C7" w:rsidRDefault="006624C7">
      <w:pPr>
        <w:spacing w:after="160"/>
      </w:pPr>
    </w:p>
    <w:p w14:paraId="7320CDA2" w14:textId="070A40C8" w:rsidR="006624C7" w:rsidRDefault="00B50FEC" w:rsidP="00FA6877">
      <w:pPr>
        <w:pStyle w:val="Heading2"/>
      </w:pPr>
      <w:proofErr w:type="gramStart"/>
      <w:r>
        <w:t>3.5  Tenant</w:t>
      </w:r>
      <w:proofErr w:type="gramEnd"/>
      <w:r>
        <w:t xml:space="preserve"> History Columns (Q – W)</w:t>
      </w:r>
    </w:p>
    <w:p w14:paraId="7320CDA3" w14:textId="77777777" w:rsidR="006624C7" w:rsidRDefault="00B50FEC">
      <w:pPr>
        <w:spacing w:before="60" w:after="60"/>
      </w:pPr>
      <w:r>
        <w:rPr>
          <w:color w:val="1A1A1A"/>
          <w:sz w:val="22"/>
          <w:szCs w:val="22"/>
        </w:rPr>
        <w:t>T</w:t>
      </w:r>
      <w:r>
        <w:rPr>
          <w:color w:val="1A1A1A"/>
          <w:sz w:val="22"/>
          <w:szCs w:val="22"/>
        </w:rPr>
        <w:t>hese columns reconstruct the last tenancy record for the unit, pulled from the Last Move Out report, and apply several rent-stabilization regulatory flag checks.</w:t>
      </w:r>
    </w:p>
    <w:p w14:paraId="7320CDA4" w14:textId="77777777" w:rsidR="006624C7" w:rsidRDefault="006624C7">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10059"/>
      </w:tblGrid>
      <w:tr w:rsidR="006624C7" w14:paraId="7320CDA6" w14:textId="77777777">
        <w:tblPrEx>
          <w:tblCellMar>
            <w:top w:w="0" w:type="dxa"/>
            <w:bottom w:w="0" w:type="dxa"/>
          </w:tblCellMar>
        </w:tblPrEx>
        <w:tc>
          <w:tcPr>
            <w:tcW w:w="0" w:type="auto"/>
            <w:gridSpan w:val="2"/>
            <w:shd w:val="clear" w:color="auto" w:fill="2E75B6"/>
            <w:tcMar>
              <w:top w:w="80" w:type="dxa"/>
              <w:left w:w="120" w:type="dxa"/>
              <w:bottom w:w="80" w:type="dxa"/>
              <w:right w:w="120" w:type="dxa"/>
            </w:tcMar>
          </w:tcPr>
          <w:p w14:paraId="7320CDA5" w14:textId="77777777" w:rsidR="006624C7" w:rsidRDefault="00B50FEC">
            <w:r>
              <w:rPr>
                <w:b/>
                <w:bCs/>
                <w:color w:val="FFFFFF"/>
                <w:sz w:val="19"/>
                <w:szCs w:val="19"/>
              </w:rPr>
              <w:t>Col Q — Last Tenant Move-Out Reason (Array Formula)</w:t>
            </w:r>
          </w:p>
        </w:tc>
      </w:tr>
      <w:tr w:rsidR="006624C7" w14:paraId="7320CDA9"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7320CDA7" w14:textId="77777777" w:rsidR="006624C7" w:rsidRDefault="00B50FEC">
            <w:r>
              <w:rPr>
                <w:b/>
                <w:bCs/>
                <w:color w:val="2E75B6"/>
                <w:sz w:val="19"/>
                <w:szCs w:val="19"/>
              </w:rPr>
              <w:t>Formula</w:t>
            </w:r>
          </w:p>
        </w:tc>
        <w:tc>
          <w:tcPr>
            <w:tcW w:w="7400" w:type="dxa"/>
            <w:shd w:val="clear" w:color="auto" w:fill="F8F0FF"/>
            <w:tcMar>
              <w:top w:w="80" w:type="dxa"/>
              <w:left w:w="120" w:type="dxa"/>
              <w:bottom w:w="80" w:type="dxa"/>
              <w:right w:w="120" w:type="dxa"/>
            </w:tcMar>
          </w:tcPr>
          <w:p w14:paraId="7320CDA8" w14:textId="77777777" w:rsidR="006624C7" w:rsidRDefault="00B50FEC">
            <w:r>
              <w:rPr>
                <w:rFonts w:ascii="Courier New" w:eastAsia="Courier New" w:hAnsi="Courier New" w:cs="Courier New"/>
                <w:color w:val="7030A0"/>
              </w:rPr>
              <w:t>{=</w:t>
            </w:r>
            <w:proofErr w:type="gramStart"/>
            <w:r>
              <w:rPr>
                <w:rFonts w:ascii="Courier New" w:eastAsia="Courier New" w:hAnsi="Courier New" w:cs="Courier New"/>
                <w:color w:val="7030A0"/>
              </w:rPr>
              <w:t>IFERROR(INDEX(</w:t>
            </w:r>
            <w:proofErr w:type="spellStart"/>
            <w:r>
              <w:rPr>
                <w:rFonts w:ascii="Courier New" w:eastAsia="Courier New" w:hAnsi="Courier New" w:cs="Courier New"/>
                <w:color w:val="7030A0"/>
              </w:rPr>
              <w:t>LastMoveOut!F</w:t>
            </w:r>
            <w:proofErr w:type="gramEnd"/>
            <w:r>
              <w:rPr>
                <w:rFonts w:ascii="Courier New" w:eastAsia="Courier New" w:hAnsi="Courier New" w:cs="Courier New"/>
                <w:color w:val="7030A0"/>
              </w:rPr>
              <w:t>:F</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MATCH(</w:t>
            </w:r>
            <w:proofErr w:type="gramEnd"/>
            <w:r>
              <w:rPr>
                <w:rFonts w:ascii="Courier New" w:eastAsia="Courier New" w:hAnsi="Courier New" w:cs="Courier New"/>
                <w:color w:val="7030A0"/>
              </w:rPr>
              <w:t>1, (</w:t>
            </w:r>
            <w:proofErr w:type="gramStart"/>
            <w:r>
              <w:rPr>
                <w:rFonts w:ascii="Courier New" w:eastAsia="Courier New" w:hAnsi="Courier New" w:cs="Courier New"/>
                <w:color w:val="7030A0"/>
              </w:rPr>
              <w:t>LastMoveOut!B</w:t>
            </w:r>
            <w:proofErr w:type="gramEnd"/>
            <w:r>
              <w:rPr>
                <w:rFonts w:ascii="Courier New" w:eastAsia="Courier New" w:hAnsi="Courier New" w:cs="Courier New"/>
                <w:color w:val="7030A0"/>
              </w:rPr>
              <w:t>:B=CONCAT(</w:t>
            </w:r>
            <w:proofErr w:type="gramStart"/>
            <w:r>
              <w:rPr>
                <w:rFonts w:ascii="Courier New" w:eastAsia="Courier New" w:hAnsi="Courier New" w:cs="Courier New"/>
                <w:color w:val="7030A0"/>
              </w:rPr>
              <w:t>C,EntityName))*</w:t>
            </w:r>
            <w:proofErr w:type="gramEnd"/>
            <w:r>
              <w:rPr>
                <w:rFonts w:ascii="Courier New" w:eastAsia="Courier New" w:hAnsi="Courier New" w:cs="Courier New"/>
                <w:color w:val="7030A0"/>
              </w:rPr>
              <w:t>(</w:t>
            </w:r>
            <w:proofErr w:type="gramStart"/>
            <w:r>
              <w:rPr>
                <w:rFonts w:ascii="Courier New" w:eastAsia="Courier New" w:hAnsi="Courier New" w:cs="Courier New"/>
                <w:color w:val="7030A0"/>
              </w:rPr>
              <w:t>LastMoveOut!J</w:t>
            </w:r>
            <w:proofErr w:type="gramEnd"/>
            <w:r>
              <w:rPr>
                <w:rFonts w:ascii="Courier New" w:eastAsia="Courier New" w:hAnsi="Courier New" w:cs="Courier New"/>
                <w:color w:val="7030A0"/>
              </w:rPr>
              <w:t>:J=MAXIFS(</w:t>
            </w:r>
            <w:proofErr w:type="gramStart"/>
            <w:r>
              <w:rPr>
                <w:rFonts w:ascii="Courier New" w:eastAsia="Courier New" w:hAnsi="Courier New" w:cs="Courier New"/>
                <w:color w:val="7030A0"/>
              </w:rPr>
              <w:t>LastMoveOut!J</w:t>
            </w:r>
            <w:proofErr w:type="gramEnd"/>
            <w:r>
              <w:rPr>
                <w:rFonts w:ascii="Courier New" w:eastAsia="Courier New" w:hAnsi="Courier New" w:cs="Courier New"/>
                <w:color w:val="7030A0"/>
              </w:rPr>
              <w:t>:</w:t>
            </w:r>
            <w:proofErr w:type="gramStart"/>
            <w:r>
              <w:rPr>
                <w:rFonts w:ascii="Courier New" w:eastAsia="Courier New" w:hAnsi="Courier New" w:cs="Courier New"/>
                <w:color w:val="7030A0"/>
              </w:rPr>
              <w:t>J,LastMoveOut</w:t>
            </w:r>
            <w:proofErr w:type="gramEnd"/>
            <w:r>
              <w:rPr>
                <w:rFonts w:ascii="Courier New" w:eastAsia="Courier New" w:hAnsi="Courier New" w:cs="Courier New"/>
                <w:color w:val="7030A0"/>
              </w:rPr>
              <w:t>!</w:t>
            </w:r>
            <w:proofErr w:type="gramStart"/>
            <w:r>
              <w:rPr>
                <w:rFonts w:ascii="Courier New" w:eastAsia="Courier New" w:hAnsi="Courier New" w:cs="Courier New"/>
                <w:color w:val="7030A0"/>
              </w:rPr>
              <w:t>B:B</w:t>
            </w:r>
            <w:proofErr w:type="gramEnd"/>
            <w:r>
              <w:rPr>
                <w:rFonts w:ascii="Courier New" w:eastAsia="Courier New" w:hAnsi="Courier New" w:cs="Courier New"/>
                <w:color w:val="7030A0"/>
              </w:rPr>
              <w:t>,CONCAT(</w:t>
            </w:r>
            <w:proofErr w:type="gramStart"/>
            <w:r>
              <w:rPr>
                <w:rFonts w:ascii="Courier New" w:eastAsia="Courier New" w:hAnsi="Courier New" w:cs="Courier New"/>
                <w:color w:val="7030A0"/>
              </w:rPr>
              <w:t>C,EntityName</w:t>
            </w:r>
            <w:proofErr w:type="gramEnd"/>
            <w:r>
              <w:rPr>
                <w:rFonts w:ascii="Courier New" w:eastAsia="Courier New" w:hAnsi="Courier New" w:cs="Courier New"/>
                <w:color w:val="7030A0"/>
              </w:rPr>
              <w:t>))), 0)), "")}</w:t>
            </w:r>
          </w:p>
        </w:tc>
      </w:tr>
      <w:tr w:rsidR="006624C7" w14:paraId="7320CDAC" w14:textId="77777777">
        <w:tblPrEx>
          <w:tblCellMar>
            <w:top w:w="0" w:type="dxa"/>
            <w:bottom w:w="0" w:type="dxa"/>
          </w:tblCellMar>
        </w:tblPrEx>
        <w:tc>
          <w:tcPr>
            <w:tcW w:w="2000" w:type="dxa"/>
            <w:shd w:val="clear" w:color="auto" w:fill="D6E4F0"/>
            <w:tcMar>
              <w:top w:w="80" w:type="dxa"/>
              <w:left w:w="120" w:type="dxa"/>
              <w:bottom w:w="80" w:type="dxa"/>
              <w:right w:w="120" w:type="dxa"/>
            </w:tcMar>
          </w:tcPr>
          <w:p w14:paraId="7320CDAA" w14:textId="77777777" w:rsidR="006624C7" w:rsidRDefault="00B50FEC">
            <w:r>
              <w:rPr>
                <w:b/>
                <w:bCs/>
                <w:color w:val="2E75B6"/>
                <w:sz w:val="19"/>
                <w:szCs w:val="19"/>
              </w:rPr>
              <w:t>Logic</w:t>
            </w:r>
          </w:p>
        </w:tc>
        <w:tc>
          <w:tcPr>
            <w:tcW w:w="7400" w:type="dxa"/>
            <w:tcMar>
              <w:top w:w="80" w:type="dxa"/>
              <w:left w:w="120" w:type="dxa"/>
              <w:bottom w:w="80" w:type="dxa"/>
              <w:right w:w="120" w:type="dxa"/>
            </w:tcMar>
          </w:tcPr>
          <w:p w14:paraId="7320CDAB" w14:textId="77777777" w:rsidR="006624C7" w:rsidRDefault="00B50FEC">
            <w:r>
              <w:rPr>
                <w:sz w:val="19"/>
                <w:szCs w:val="19"/>
              </w:rPr>
              <w:t>Array formula that finds the move-out reason for the most recent departure from this unit. Uses MAXIFS to identify the latest move-out date for the unit key, then uses INDEX/MATCH with a dual-condition array to retrieve the corresponding reason.</w:t>
            </w:r>
          </w:p>
        </w:tc>
      </w:tr>
    </w:tbl>
    <w:p w14:paraId="7320CDAD" w14:textId="77777777" w:rsidR="006624C7" w:rsidRDefault="006624C7">
      <w:pPr>
        <w:spacing w:after="8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9847"/>
      </w:tblGrid>
      <w:tr w:rsidR="006624C7" w14:paraId="7320CDAF"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DAE" w14:textId="77777777" w:rsidR="006624C7" w:rsidRDefault="00B50FEC">
            <w:r>
              <w:rPr>
                <w:b/>
                <w:bCs/>
                <w:color w:val="FFFFFF"/>
                <w:sz w:val="19"/>
                <w:szCs w:val="19"/>
              </w:rPr>
              <w:t>Col R — Move-In Date (Array Formula)</w:t>
            </w:r>
          </w:p>
        </w:tc>
      </w:tr>
      <w:tr w:rsidR="006624C7" w14:paraId="7320CDB2" w14:textId="77777777" w:rsidTr="00FA6877">
        <w:tblPrEx>
          <w:tblCellMar>
            <w:top w:w="0" w:type="dxa"/>
            <w:bottom w:w="0" w:type="dxa"/>
          </w:tblCellMar>
        </w:tblPrEx>
        <w:tc>
          <w:tcPr>
            <w:tcW w:w="948" w:type="dxa"/>
            <w:shd w:val="clear" w:color="auto" w:fill="D6E4F0"/>
            <w:tcMar>
              <w:top w:w="80" w:type="dxa"/>
              <w:left w:w="120" w:type="dxa"/>
              <w:bottom w:w="80" w:type="dxa"/>
              <w:right w:w="120" w:type="dxa"/>
            </w:tcMar>
          </w:tcPr>
          <w:p w14:paraId="7320CDB0" w14:textId="77777777" w:rsidR="006624C7" w:rsidRDefault="00B50FEC">
            <w:r>
              <w:rPr>
                <w:b/>
                <w:bCs/>
                <w:color w:val="2E75B6"/>
                <w:sz w:val="19"/>
                <w:szCs w:val="19"/>
              </w:rPr>
              <w:t>Formula</w:t>
            </w:r>
          </w:p>
        </w:tc>
        <w:tc>
          <w:tcPr>
            <w:tcW w:w="9847" w:type="dxa"/>
            <w:shd w:val="clear" w:color="auto" w:fill="F8F0FF"/>
            <w:tcMar>
              <w:top w:w="80" w:type="dxa"/>
              <w:left w:w="120" w:type="dxa"/>
              <w:bottom w:w="80" w:type="dxa"/>
              <w:right w:w="120" w:type="dxa"/>
            </w:tcMar>
          </w:tcPr>
          <w:p w14:paraId="7320CDB1" w14:textId="77777777" w:rsidR="006624C7" w:rsidRDefault="00B50FEC">
            <w:r>
              <w:rPr>
                <w:rFonts w:ascii="Courier New" w:eastAsia="Courier New" w:hAnsi="Courier New" w:cs="Courier New"/>
                <w:color w:val="7030A0"/>
              </w:rPr>
              <w:t>{=</w:t>
            </w:r>
            <w:proofErr w:type="gramStart"/>
            <w:r>
              <w:rPr>
                <w:rFonts w:ascii="Courier New" w:eastAsia="Courier New" w:hAnsi="Courier New" w:cs="Courier New"/>
                <w:color w:val="7030A0"/>
              </w:rPr>
              <w:t>IFERROR(INDEX(</w:t>
            </w:r>
            <w:proofErr w:type="spellStart"/>
            <w:r>
              <w:rPr>
                <w:rFonts w:ascii="Courier New" w:eastAsia="Courier New" w:hAnsi="Courier New" w:cs="Courier New"/>
                <w:color w:val="7030A0"/>
              </w:rPr>
              <w:t>LastMoveOut!G</w:t>
            </w:r>
            <w:proofErr w:type="gramEnd"/>
            <w:r>
              <w:rPr>
                <w:rFonts w:ascii="Courier New" w:eastAsia="Courier New" w:hAnsi="Courier New" w:cs="Courier New"/>
                <w:color w:val="7030A0"/>
              </w:rPr>
              <w:t>:G</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MATCH(</w:t>
            </w:r>
            <w:proofErr w:type="gramEnd"/>
            <w:r>
              <w:rPr>
                <w:rFonts w:ascii="Courier New" w:eastAsia="Courier New" w:hAnsi="Courier New" w:cs="Courier New"/>
                <w:color w:val="7030A0"/>
              </w:rPr>
              <w:t>1, (</w:t>
            </w:r>
            <w:proofErr w:type="gramStart"/>
            <w:r>
              <w:rPr>
                <w:rFonts w:ascii="Courier New" w:eastAsia="Courier New" w:hAnsi="Courier New" w:cs="Courier New"/>
                <w:color w:val="7030A0"/>
              </w:rPr>
              <w:t>LastMoveOut!B</w:t>
            </w:r>
            <w:proofErr w:type="gramEnd"/>
            <w:r>
              <w:rPr>
                <w:rFonts w:ascii="Courier New" w:eastAsia="Courier New" w:hAnsi="Courier New" w:cs="Courier New"/>
                <w:color w:val="7030A0"/>
              </w:rPr>
              <w:t>:B=CONCAT(</w:t>
            </w:r>
            <w:proofErr w:type="gramStart"/>
            <w:r>
              <w:rPr>
                <w:rFonts w:ascii="Courier New" w:eastAsia="Courier New" w:hAnsi="Courier New" w:cs="Courier New"/>
                <w:color w:val="7030A0"/>
              </w:rPr>
              <w:t>C,EntityName))*</w:t>
            </w:r>
            <w:proofErr w:type="gramEnd"/>
            <w:r>
              <w:rPr>
                <w:rFonts w:ascii="Courier New" w:eastAsia="Courier New" w:hAnsi="Courier New" w:cs="Courier New"/>
                <w:color w:val="7030A0"/>
              </w:rPr>
              <w:t>(</w:t>
            </w:r>
            <w:proofErr w:type="gramStart"/>
            <w:r>
              <w:rPr>
                <w:rFonts w:ascii="Courier New" w:eastAsia="Courier New" w:hAnsi="Courier New" w:cs="Courier New"/>
                <w:color w:val="7030A0"/>
              </w:rPr>
              <w:t>LastMoveOut!J</w:t>
            </w:r>
            <w:proofErr w:type="gramEnd"/>
            <w:r>
              <w:rPr>
                <w:rFonts w:ascii="Courier New" w:eastAsia="Courier New" w:hAnsi="Courier New" w:cs="Courier New"/>
                <w:color w:val="7030A0"/>
              </w:rPr>
              <w:t>:J=MAXIFS(...)), 0)), "")}</w:t>
            </w:r>
          </w:p>
        </w:tc>
      </w:tr>
      <w:tr w:rsidR="006624C7" w14:paraId="7320CDB5" w14:textId="77777777" w:rsidTr="00FA6877">
        <w:tblPrEx>
          <w:tblCellMar>
            <w:top w:w="0" w:type="dxa"/>
            <w:bottom w:w="0" w:type="dxa"/>
          </w:tblCellMar>
        </w:tblPrEx>
        <w:tc>
          <w:tcPr>
            <w:tcW w:w="948" w:type="dxa"/>
            <w:shd w:val="clear" w:color="auto" w:fill="D6E4F0"/>
            <w:tcMar>
              <w:top w:w="80" w:type="dxa"/>
              <w:left w:w="120" w:type="dxa"/>
              <w:bottom w:w="80" w:type="dxa"/>
              <w:right w:w="120" w:type="dxa"/>
            </w:tcMar>
          </w:tcPr>
          <w:p w14:paraId="7320CDB3" w14:textId="77777777" w:rsidR="006624C7" w:rsidRDefault="00B50FEC">
            <w:r>
              <w:rPr>
                <w:b/>
                <w:bCs/>
                <w:color w:val="2E75B6"/>
                <w:sz w:val="19"/>
                <w:szCs w:val="19"/>
              </w:rPr>
              <w:t>Logic</w:t>
            </w:r>
          </w:p>
        </w:tc>
        <w:tc>
          <w:tcPr>
            <w:tcW w:w="9847" w:type="dxa"/>
            <w:tcMar>
              <w:top w:w="80" w:type="dxa"/>
              <w:left w:w="120" w:type="dxa"/>
              <w:bottom w:w="80" w:type="dxa"/>
              <w:right w:w="120" w:type="dxa"/>
            </w:tcMar>
          </w:tcPr>
          <w:p w14:paraId="7320CDB4" w14:textId="77777777" w:rsidR="006624C7" w:rsidRDefault="00B50FEC">
            <w:r>
              <w:rPr>
                <w:sz w:val="19"/>
                <w:szCs w:val="19"/>
              </w:rPr>
              <w:t>Same pattern as col Q — retrieves the Move-In Date (column G of Last Move Out) for the most recent tenant of the unit.</w:t>
            </w:r>
          </w:p>
        </w:tc>
      </w:tr>
    </w:tbl>
    <w:p w14:paraId="7320CDB6" w14:textId="77777777" w:rsidR="006624C7" w:rsidRDefault="006624C7">
      <w:pPr>
        <w:spacing w:after="8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795"/>
      </w:tblGrid>
      <w:tr w:rsidR="006624C7" w14:paraId="7320CDB8"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DB7" w14:textId="77777777" w:rsidR="006624C7" w:rsidRDefault="00B50FEC">
            <w:r>
              <w:rPr>
                <w:b/>
                <w:bCs/>
                <w:color w:val="FFFFFF"/>
                <w:sz w:val="19"/>
                <w:szCs w:val="19"/>
              </w:rPr>
              <w:t>Col S — Move-Out Date</w:t>
            </w:r>
          </w:p>
        </w:tc>
      </w:tr>
      <w:tr w:rsidR="006624C7" w14:paraId="7320CDBB"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B9" w14:textId="77777777" w:rsidR="006624C7" w:rsidRDefault="00B50FEC">
            <w:r>
              <w:rPr>
                <w:b/>
                <w:bCs/>
                <w:color w:val="2E75B6"/>
                <w:sz w:val="19"/>
                <w:szCs w:val="19"/>
              </w:rPr>
              <w:t>Formula</w:t>
            </w:r>
          </w:p>
        </w:tc>
        <w:tc>
          <w:tcPr>
            <w:tcW w:w="8795" w:type="dxa"/>
            <w:shd w:val="clear" w:color="auto" w:fill="F8F0FF"/>
            <w:tcMar>
              <w:top w:w="80" w:type="dxa"/>
              <w:left w:w="120" w:type="dxa"/>
              <w:bottom w:w="80" w:type="dxa"/>
              <w:right w:w="120" w:type="dxa"/>
            </w:tcMar>
          </w:tcPr>
          <w:p w14:paraId="7320CDBA" w14:textId="77777777" w:rsidR="006624C7" w:rsidRDefault="00B50FEC">
            <w:proofErr w:type="gramStart"/>
            <w:r>
              <w:rPr>
                <w:rFonts w:ascii="Courier New" w:eastAsia="Courier New" w:hAnsi="Courier New" w:cs="Courier New"/>
                <w:color w:val="7030A0"/>
              </w:rPr>
              <w:t>IFERROR(IF(MAXIFS(</w:t>
            </w:r>
            <w:proofErr w:type="spellStart"/>
            <w:r>
              <w:rPr>
                <w:rFonts w:ascii="Courier New" w:eastAsia="Courier New" w:hAnsi="Courier New" w:cs="Courier New"/>
                <w:color w:val="7030A0"/>
              </w:rPr>
              <w:t>LastMoveOut!J</w:t>
            </w:r>
            <w:proofErr w:type="gramEnd"/>
            <w:r>
              <w:rPr>
                <w:rFonts w:ascii="Courier New" w:eastAsia="Courier New" w:hAnsi="Courier New" w:cs="Courier New"/>
                <w:color w:val="7030A0"/>
              </w:rPr>
              <w:t>:J</w:t>
            </w:r>
            <w:proofErr w:type="spellEnd"/>
            <w:r>
              <w:rPr>
                <w:rFonts w:ascii="Courier New" w:eastAsia="Courier New" w:hAnsi="Courier New" w:cs="Courier New"/>
                <w:color w:val="7030A0"/>
              </w:rPr>
              <w:t xml:space="preserve">, </w:t>
            </w:r>
            <w:proofErr w:type="spellStart"/>
            <w:proofErr w:type="gramStart"/>
            <w:r>
              <w:rPr>
                <w:rFonts w:ascii="Courier New" w:eastAsia="Courier New" w:hAnsi="Courier New" w:cs="Courier New"/>
                <w:color w:val="7030A0"/>
              </w:rPr>
              <w:t>LastMoveOut!B</w:t>
            </w:r>
            <w:proofErr w:type="gramEnd"/>
            <w:r>
              <w:rPr>
                <w:rFonts w:ascii="Courier New" w:eastAsia="Courier New" w:hAnsi="Courier New" w:cs="Courier New"/>
                <w:color w:val="7030A0"/>
              </w:rPr>
              <w:t>:B</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CONCAT(</w:t>
            </w:r>
            <w:proofErr w:type="gramEnd"/>
            <w:r>
              <w:rPr>
                <w:rFonts w:ascii="Courier New" w:eastAsia="Courier New" w:hAnsi="Courier New" w:cs="Courier New"/>
                <w:color w:val="7030A0"/>
              </w:rPr>
              <w:t xml:space="preserve">C, </w:t>
            </w:r>
            <w:proofErr w:type="spellStart"/>
            <w:r>
              <w:rPr>
                <w:rFonts w:ascii="Courier New" w:eastAsia="Courier New" w:hAnsi="Courier New" w:cs="Courier New"/>
                <w:color w:val="7030A0"/>
              </w:rPr>
              <w:t>EntityName</w:t>
            </w:r>
            <w:proofErr w:type="spellEnd"/>
            <w:proofErr w:type="gramStart"/>
            <w:r>
              <w:rPr>
                <w:rFonts w:ascii="Courier New" w:eastAsia="Courier New" w:hAnsi="Courier New" w:cs="Courier New"/>
                <w:color w:val="7030A0"/>
              </w:rPr>
              <w:t>))=</w:t>
            </w:r>
            <w:proofErr w:type="gramEnd"/>
            <w:r>
              <w:rPr>
                <w:rFonts w:ascii="Courier New" w:eastAsia="Courier New" w:hAnsi="Courier New" w:cs="Courier New"/>
                <w:color w:val="7030A0"/>
              </w:rPr>
              <w:t>0, "", MAXIFS(...)), "")</w:t>
            </w:r>
          </w:p>
        </w:tc>
      </w:tr>
      <w:tr w:rsidR="006624C7" w14:paraId="7320CDBE"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BC" w14:textId="77777777" w:rsidR="006624C7" w:rsidRDefault="00B50FEC">
            <w:r>
              <w:rPr>
                <w:b/>
                <w:bCs/>
                <w:color w:val="2E75B6"/>
                <w:sz w:val="19"/>
                <w:szCs w:val="19"/>
              </w:rPr>
              <w:t>Logic</w:t>
            </w:r>
          </w:p>
        </w:tc>
        <w:tc>
          <w:tcPr>
            <w:tcW w:w="8795" w:type="dxa"/>
            <w:tcMar>
              <w:top w:w="80" w:type="dxa"/>
              <w:left w:w="120" w:type="dxa"/>
              <w:bottom w:w="80" w:type="dxa"/>
              <w:right w:w="120" w:type="dxa"/>
            </w:tcMar>
          </w:tcPr>
          <w:p w14:paraId="7320CDBD" w14:textId="77777777" w:rsidR="006624C7" w:rsidRDefault="00B50FEC">
            <w:r>
              <w:rPr>
                <w:sz w:val="19"/>
                <w:szCs w:val="19"/>
              </w:rPr>
              <w:t>Returns the latest move-out date recorded for the unit using MAXIFS. If no move-out date exists (unit may never have been occupied), returns blank.</w:t>
            </w:r>
          </w:p>
        </w:tc>
      </w:tr>
    </w:tbl>
    <w:p w14:paraId="7320CDBF" w14:textId="77777777" w:rsidR="006624C7" w:rsidRDefault="006624C7">
      <w:pPr>
        <w:spacing w:after="8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795"/>
      </w:tblGrid>
      <w:tr w:rsidR="006624C7" w14:paraId="7320CDC1"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DC0" w14:textId="77777777" w:rsidR="006624C7" w:rsidRDefault="00B50FEC">
            <w:r>
              <w:rPr>
                <w:b/>
                <w:bCs/>
                <w:color w:val="FFFFFF"/>
                <w:sz w:val="19"/>
                <w:szCs w:val="19"/>
              </w:rPr>
              <w:t>Col T — Move-Out Step Addendum</w:t>
            </w:r>
          </w:p>
        </w:tc>
      </w:tr>
      <w:tr w:rsidR="006624C7" w14:paraId="7320CDC4"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C2" w14:textId="77777777" w:rsidR="006624C7" w:rsidRDefault="00B50FEC">
            <w:r>
              <w:rPr>
                <w:b/>
                <w:bCs/>
                <w:color w:val="2E75B6"/>
                <w:sz w:val="19"/>
                <w:szCs w:val="19"/>
              </w:rPr>
              <w:t>Formula</w:t>
            </w:r>
          </w:p>
        </w:tc>
        <w:tc>
          <w:tcPr>
            <w:tcW w:w="8795" w:type="dxa"/>
            <w:shd w:val="clear" w:color="auto" w:fill="F8F0FF"/>
            <w:tcMar>
              <w:top w:w="80" w:type="dxa"/>
              <w:left w:w="120" w:type="dxa"/>
              <w:bottom w:w="80" w:type="dxa"/>
              <w:right w:w="120" w:type="dxa"/>
            </w:tcMar>
          </w:tcPr>
          <w:p w14:paraId="7320CDC3" w14:textId="77777777" w:rsidR="006624C7" w:rsidRDefault="00B50FEC">
            <w:proofErr w:type="gramStart"/>
            <w:r>
              <w:rPr>
                <w:rFonts w:ascii="Courier New" w:eastAsia="Courier New" w:hAnsi="Courier New" w:cs="Courier New"/>
                <w:color w:val="7030A0"/>
              </w:rPr>
              <w:t>IFERROR(INDEX(</w:t>
            </w:r>
            <w:proofErr w:type="gramEnd"/>
            <w:r>
              <w:rPr>
                <w:rFonts w:ascii="Courier New" w:eastAsia="Courier New" w:hAnsi="Courier New" w:cs="Courier New"/>
                <w:color w:val="7030A0"/>
              </w:rPr>
              <w:t>$C$</w:t>
            </w:r>
            <w:proofErr w:type="gramStart"/>
            <w:r>
              <w:rPr>
                <w:rFonts w:ascii="Courier New" w:eastAsia="Courier New" w:hAnsi="Courier New" w:cs="Courier New"/>
                <w:color w:val="7030A0"/>
              </w:rPr>
              <w:t>157:$</w:t>
            </w:r>
            <w:proofErr w:type="gramEnd"/>
            <w:r>
              <w:rPr>
                <w:rFonts w:ascii="Courier New" w:eastAsia="Courier New" w:hAnsi="Courier New" w:cs="Courier New"/>
                <w:color w:val="7030A0"/>
              </w:rPr>
              <w:t xml:space="preserve">C$164, </w:t>
            </w:r>
            <w:proofErr w:type="gramStart"/>
            <w:r>
              <w:rPr>
                <w:rFonts w:ascii="Courier New" w:eastAsia="Courier New" w:hAnsi="Courier New" w:cs="Courier New"/>
                <w:color w:val="7030A0"/>
              </w:rPr>
              <w:t>MATCH(</w:t>
            </w:r>
            <w:proofErr w:type="gramEnd"/>
            <w:r>
              <w:rPr>
                <w:rFonts w:ascii="Courier New" w:eastAsia="Courier New" w:hAnsi="Courier New" w:cs="Courier New"/>
                <w:color w:val="7030A0"/>
              </w:rPr>
              <w:t>Q9, $B$</w:t>
            </w:r>
            <w:proofErr w:type="gramStart"/>
            <w:r>
              <w:rPr>
                <w:rFonts w:ascii="Courier New" w:eastAsia="Courier New" w:hAnsi="Courier New" w:cs="Courier New"/>
                <w:color w:val="7030A0"/>
              </w:rPr>
              <w:t>157:$</w:t>
            </w:r>
            <w:proofErr w:type="gramEnd"/>
            <w:r>
              <w:rPr>
                <w:rFonts w:ascii="Courier New" w:eastAsia="Courier New" w:hAnsi="Courier New" w:cs="Courier New"/>
                <w:color w:val="7030A0"/>
              </w:rPr>
              <w:t>B$164, 0)), "")</w:t>
            </w:r>
          </w:p>
        </w:tc>
      </w:tr>
      <w:tr w:rsidR="006624C7" w14:paraId="7320CDC7"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C5" w14:textId="77777777" w:rsidR="006624C7" w:rsidRDefault="00B50FEC">
            <w:r>
              <w:rPr>
                <w:b/>
                <w:bCs/>
                <w:color w:val="2E75B6"/>
                <w:sz w:val="19"/>
                <w:szCs w:val="19"/>
              </w:rPr>
              <w:t>Logic</w:t>
            </w:r>
          </w:p>
        </w:tc>
        <w:tc>
          <w:tcPr>
            <w:tcW w:w="8795" w:type="dxa"/>
            <w:tcMar>
              <w:top w:w="80" w:type="dxa"/>
              <w:left w:w="120" w:type="dxa"/>
              <w:bottom w:w="80" w:type="dxa"/>
              <w:right w:w="120" w:type="dxa"/>
            </w:tcMar>
          </w:tcPr>
          <w:p w14:paraId="7320CDC6" w14:textId="77777777" w:rsidR="006624C7" w:rsidRDefault="00B50FEC">
            <w:r>
              <w:rPr>
                <w:sz w:val="19"/>
                <w:szCs w:val="19"/>
              </w:rPr>
              <w:t>Looks up the move-out reason (col Q) in the Move-Out Reason Next Step Overlay table (rows 157–164) and returns the corresponding addendum text. For example, "Death/Illness" triggers a note to confirm estate/probate hold; "Eviction" triggers a note to verify the legal process is fully closed.</w:t>
            </w:r>
          </w:p>
        </w:tc>
      </w:tr>
    </w:tbl>
    <w:p w14:paraId="7320CDC8" w14:textId="77777777" w:rsidR="006624C7" w:rsidRDefault="006624C7">
      <w:pPr>
        <w:spacing w:after="8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6795"/>
      </w:tblGrid>
      <w:tr w:rsidR="006624C7" w14:paraId="7320CDCC" w14:textId="77777777" w:rsidTr="00FA6877">
        <w:tblPrEx>
          <w:tblCellMar>
            <w:top w:w="0" w:type="dxa"/>
            <w:bottom w:w="0" w:type="dxa"/>
          </w:tblCellMar>
        </w:tblPrEx>
        <w:trPr>
          <w:tblHeader/>
        </w:trPr>
        <w:tc>
          <w:tcPr>
            <w:tcW w:w="1200" w:type="dxa"/>
            <w:shd w:val="clear" w:color="auto" w:fill="1F3864"/>
            <w:tcMar>
              <w:top w:w="80" w:type="dxa"/>
              <w:left w:w="80" w:type="dxa"/>
              <w:bottom w:w="80" w:type="dxa"/>
              <w:right w:w="80" w:type="dxa"/>
            </w:tcMar>
          </w:tcPr>
          <w:p w14:paraId="7320CDC9" w14:textId="77777777" w:rsidR="006624C7" w:rsidRDefault="00B50FEC">
            <w:pPr>
              <w:jc w:val="center"/>
            </w:pPr>
            <w:r>
              <w:rPr>
                <w:b/>
                <w:bCs/>
                <w:color w:val="FFFFFF"/>
                <w:sz w:val="19"/>
                <w:szCs w:val="19"/>
              </w:rPr>
              <w:t>Column</w:t>
            </w:r>
          </w:p>
        </w:tc>
        <w:tc>
          <w:tcPr>
            <w:tcW w:w="2800" w:type="dxa"/>
            <w:shd w:val="clear" w:color="auto" w:fill="1F3864"/>
            <w:tcMar>
              <w:top w:w="80" w:type="dxa"/>
              <w:left w:w="80" w:type="dxa"/>
              <w:bottom w:w="80" w:type="dxa"/>
              <w:right w:w="80" w:type="dxa"/>
            </w:tcMar>
          </w:tcPr>
          <w:p w14:paraId="7320CDCA" w14:textId="77777777" w:rsidR="006624C7" w:rsidRDefault="00B50FEC">
            <w:pPr>
              <w:jc w:val="center"/>
            </w:pPr>
            <w:r>
              <w:rPr>
                <w:b/>
                <w:bCs/>
                <w:color w:val="FFFFFF"/>
                <w:sz w:val="19"/>
                <w:szCs w:val="19"/>
              </w:rPr>
              <w:t>Header</w:t>
            </w:r>
          </w:p>
        </w:tc>
        <w:tc>
          <w:tcPr>
            <w:tcW w:w="6795" w:type="dxa"/>
            <w:shd w:val="clear" w:color="auto" w:fill="1F3864"/>
            <w:tcMar>
              <w:top w:w="80" w:type="dxa"/>
              <w:left w:w="80" w:type="dxa"/>
              <w:bottom w:w="80" w:type="dxa"/>
              <w:right w:w="80" w:type="dxa"/>
            </w:tcMar>
          </w:tcPr>
          <w:p w14:paraId="7320CDCB" w14:textId="77777777" w:rsidR="006624C7" w:rsidRDefault="00B50FEC">
            <w:pPr>
              <w:jc w:val="center"/>
            </w:pPr>
            <w:r>
              <w:rPr>
                <w:b/>
                <w:bCs/>
                <w:color w:val="FFFFFF"/>
                <w:sz w:val="19"/>
                <w:szCs w:val="19"/>
              </w:rPr>
              <w:t>Formula / Logic</w:t>
            </w:r>
          </w:p>
        </w:tc>
      </w:tr>
      <w:tr w:rsidR="006624C7" w14:paraId="7320CDD0"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CD" w14:textId="77777777" w:rsidR="006624C7" w:rsidRDefault="00B50FEC">
            <w:pPr>
              <w:spacing w:before="30" w:after="30"/>
            </w:pPr>
            <w:r>
              <w:rPr>
                <w:sz w:val="19"/>
                <w:szCs w:val="19"/>
              </w:rPr>
              <w:t>U</w:t>
            </w:r>
          </w:p>
        </w:tc>
        <w:tc>
          <w:tcPr>
            <w:tcW w:w="2800" w:type="dxa"/>
            <w:shd w:val="clear" w:color="auto" w:fill="FFFFFF"/>
            <w:tcMar>
              <w:top w:w="60" w:type="dxa"/>
              <w:left w:w="80" w:type="dxa"/>
              <w:bottom w:w="60" w:type="dxa"/>
              <w:right w:w="80" w:type="dxa"/>
            </w:tcMar>
          </w:tcPr>
          <w:p w14:paraId="7320CDCE" w14:textId="77777777" w:rsidR="006624C7" w:rsidRDefault="00B50FEC">
            <w:pPr>
              <w:spacing w:before="30" w:after="30"/>
            </w:pPr>
            <w:r>
              <w:rPr>
                <w:sz w:val="19"/>
                <w:szCs w:val="19"/>
              </w:rPr>
              <w:t>Vacant 4/1/22–4/1/24 (Any Point)</w:t>
            </w:r>
          </w:p>
        </w:tc>
        <w:tc>
          <w:tcPr>
            <w:tcW w:w="6795" w:type="dxa"/>
            <w:shd w:val="clear" w:color="auto" w:fill="FFFFFF"/>
            <w:tcMar>
              <w:top w:w="60" w:type="dxa"/>
              <w:left w:w="80" w:type="dxa"/>
              <w:bottom w:w="60" w:type="dxa"/>
              <w:right w:w="80" w:type="dxa"/>
            </w:tcMar>
          </w:tcPr>
          <w:p w14:paraId="7320CDCF" w14:textId="77777777" w:rsidR="006624C7" w:rsidRDefault="00B50FEC">
            <w:pPr>
              <w:spacing w:before="30" w:after="30"/>
            </w:pPr>
            <w:r>
              <w:rPr>
                <w:sz w:val="19"/>
                <w:szCs w:val="19"/>
              </w:rPr>
              <w:t>=IF(S="","N</w:t>
            </w:r>
            <w:proofErr w:type="gramStart"/>
            <w:r>
              <w:rPr>
                <w:sz w:val="19"/>
                <w:szCs w:val="19"/>
              </w:rPr>
              <w:t>",IF</w:t>
            </w:r>
            <w:proofErr w:type="gramEnd"/>
            <w:r>
              <w:rPr>
                <w:sz w:val="19"/>
                <w:szCs w:val="19"/>
              </w:rPr>
              <w:t>(S&lt;=</w:t>
            </w:r>
            <w:proofErr w:type="gramStart"/>
            <w:r>
              <w:rPr>
                <w:sz w:val="19"/>
                <w:szCs w:val="19"/>
              </w:rPr>
              <w:t>DATE(</w:t>
            </w:r>
            <w:proofErr w:type="gramEnd"/>
            <w:r>
              <w:rPr>
                <w:sz w:val="19"/>
                <w:szCs w:val="19"/>
              </w:rPr>
              <w:t>2024,4,1),"Y","N")) — flags "Y" if move-out date is on or before April 1, 2024, indicating the unit was vacant at any point in the 2022–2024 window. Relevant for rent-stabilization regulatory tracking.</w:t>
            </w:r>
          </w:p>
        </w:tc>
      </w:tr>
      <w:tr w:rsidR="006624C7" w14:paraId="7320CDD4"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D1" w14:textId="77777777" w:rsidR="006624C7" w:rsidRDefault="00B50FEC">
            <w:pPr>
              <w:spacing w:before="30" w:after="30"/>
            </w:pPr>
            <w:r>
              <w:rPr>
                <w:sz w:val="19"/>
                <w:szCs w:val="19"/>
              </w:rPr>
              <w:t>V</w:t>
            </w:r>
          </w:p>
        </w:tc>
        <w:tc>
          <w:tcPr>
            <w:tcW w:w="2800" w:type="dxa"/>
            <w:shd w:val="clear" w:color="auto" w:fill="F2F2F2"/>
            <w:tcMar>
              <w:top w:w="60" w:type="dxa"/>
              <w:left w:w="80" w:type="dxa"/>
              <w:bottom w:w="60" w:type="dxa"/>
              <w:right w:w="80" w:type="dxa"/>
            </w:tcMar>
          </w:tcPr>
          <w:p w14:paraId="7320CDD2" w14:textId="77777777" w:rsidR="006624C7" w:rsidRDefault="00B50FEC">
            <w:pPr>
              <w:spacing w:before="30" w:after="30"/>
            </w:pPr>
            <w:r>
              <w:rPr>
                <w:sz w:val="19"/>
                <w:szCs w:val="19"/>
              </w:rPr>
              <w:t>Vacant 4/1/22–4/1/24 (Full Period)</w:t>
            </w:r>
          </w:p>
        </w:tc>
        <w:tc>
          <w:tcPr>
            <w:tcW w:w="6795" w:type="dxa"/>
            <w:shd w:val="clear" w:color="auto" w:fill="F2F2F2"/>
            <w:tcMar>
              <w:top w:w="60" w:type="dxa"/>
              <w:left w:w="80" w:type="dxa"/>
              <w:bottom w:w="60" w:type="dxa"/>
              <w:right w:w="80" w:type="dxa"/>
            </w:tcMar>
          </w:tcPr>
          <w:p w14:paraId="7320CDD3" w14:textId="77777777" w:rsidR="006624C7" w:rsidRDefault="00B50FEC">
            <w:pPr>
              <w:spacing w:before="30" w:after="30"/>
            </w:pPr>
            <w:r>
              <w:rPr>
                <w:sz w:val="19"/>
                <w:szCs w:val="19"/>
              </w:rPr>
              <w:t>=IF(S="","N</w:t>
            </w:r>
            <w:proofErr w:type="gramStart"/>
            <w:r>
              <w:rPr>
                <w:sz w:val="19"/>
                <w:szCs w:val="19"/>
              </w:rPr>
              <w:t>",IF</w:t>
            </w:r>
            <w:proofErr w:type="gramEnd"/>
            <w:r>
              <w:rPr>
                <w:sz w:val="19"/>
                <w:szCs w:val="19"/>
              </w:rPr>
              <w:t>(S&lt;=</w:t>
            </w:r>
            <w:proofErr w:type="gramStart"/>
            <w:r>
              <w:rPr>
                <w:sz w:val="19"/>
                <w:szCs w:val="19"/>
              </w:rPr>
              <w:t>DATE(</w:t>
            </w:r>
            <w:proofErr w:type="gramEnd"/>
            <w:r>
              <w:rPr>
                <w:sz w:val="19"/>
                <w:szCs w:val="19"/>
              </w:rPr>
              <w:t>2022,4,1),"Y","N")) — flags "Y" only if move-out was on or before April 1, 2022, meaning the unit was vacant for the full 2-year window.</w:t>
            </w:r>
          </w:p>
        </w:tc>
      </w:tr>
      <w:tr w:rsidR="006624C7" w14:paraId="7320CDD8"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D5" w14:textId="77777777" w:rsidR="006624C7" w:rsidRDefault="00B50FEC">
            <w:pPr>
              <w:spacing w:before="30" w:after="30"/>
            </w:pPr>
            <w:r>
              <w:rPr>
                <w:sz w:val="19"/>
                <w:szCs w:val="19"/>
              </w:rPr>
              <w:lastRenderedPageBreak/>
              <w:t>W</w:t>
            </w:r>
          </w:p>
        </w:tc>
        <w:tc>
          <w:tcPr>
            <w:tcW w:w="2800" w:type="dxa"/>
            <w:shd w:val="clear" w:color="auto" w:fill="FFFFFF"/>
            <w:tcMar>
              <w:top w:w="60" w:type="dxa"/>
              <w:left w:w="80" w:type="dxa"/>
              <w:bottom w:w="60" w:type="dxa"/>
              <w:right w:w="80" w:type="dxa"/>
            </w:tcMar>
          </w:tcPr>
          <w:p w14:paraId="7320CDD6" w14:textId="77777777" w:rsidR="006624C7" w:rsidRDefault="00B50FEC">
            <w:pPr>
              <w:spacing w:before="30" w:after="30"/>
            </w:pPr>
            <w:r>
              <w:rPr>
                <w:sz w:val="19"/>
                <w:szCs w:val="19"/>
              </w:rPr>
              <w:t>Tenant 25+ Years</w:t>
            </w:r>
          </w:p>
        </w:tc>
        <w:tc>
          <w:tcPr>
            <w:tcW w:w="6795" w:type="dxa"/>
            <w:shd w:val="clear" w:color="auto" w:fill="FFFFFF"/>
            <w:tcMar>
              <w:top w:w="60" w:type="dxa"/>
              <w:left w:w="80" w:type="dxa"/>
              <w:bottom w:w="60" w:type="dxa"/>
              <w:right w:w="80" w:type="dxa"/>
            </w:tcMar>
          </w:tcPr>
          <w:p w14:paraId="7320CDD7" w14:textId="77777777" w:rsidR="006624C7" w:rsidRDefault="00B50FEC">
            <w:pPr>
              <w:spacing w:before="30" w:after="30"/>
            </w:pPr>
            <w:r>
              <w:rPr>
                <w:sz w:val="19"/>
                <w:szCs w:val="19"/>
              </w:rPr>
              <w:t>=IF(OR(R="</w:t>
            </w:r>
            <w:proofErr w:type="gramStart"/>
            <w:r>
              <w:rPr>
                <w:sz w:val="19"/>
                <w:szCs w:val="19"/>
              </w:rPr>
              <w:t>",S</w:t>
            </w:r>
            <w:proofErr w:type="gramEnd"/>
            <w:r>
              <w:rPr>
                <w:sz w:val="19"/>
                <w:szCs w:val="19"/>
              </w:rPr>
              <w:t>=""),"N</w:t>
            </w:r>
            <w:proofErr w:type="gramStart"/>
            <w:r>
              <w:rPr>
                <w:sz w:val="19"/>
                <w:szCs w:val="19"/>
              </w:rPr>
              <w:t>",IF</w:t>
            </w:r>
            <w:proofErr w:type="gramEnd"/>
            <w:r>
              <w:rPr>
                <w:sz w:val="19"/>
                <w:szCs w:val="19"/>
              </w:rPr>
              <w:t>((S-R)&gt;=25*365.25,"Y","N")) — computes tenancy duration by subtracting move-in from move-out date. Flags "Y" if ≥25 years (9,131.25 days). 365.25 accounts for leap years.</w:t>
            </w:r>
          </w:p>
        </w:tc>
      </w:tr>
      <w:tr w:rsidR="006624C7" w14:paraId="7320CDDC"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D9" w14:textId="77777777" w:rsidR="006624C7" w:rsidRDefault="00B50FEC">
            <w:pPr>
              <w:spacing w:before="30" w:after="30"/>
            </w:pPr>
            <w:r>
              <w:rPr>
                <w:sz w:val="19"/>
                <w:szCs w:val="19"/>
              </w:rPr>
              <w:t>X</w:t>
            </w:r>
          </w:p>
        </w:tc>
        <w:tc>
          <w:tcPr>
            <w:tcW w:w="2800" w:type="dxa"/>
            <w:shd w:val="clear" w:color="auto" w:fill="F2F2F2"/>
            <w:tcMar>
              <w:top w:w="60" w:type="dxa"/>
              <w:left w:w="80" w:type="dxa"/>
              <w:bottom w:w="60" w:type="dxa"/>
              <w:right w:w="80" w:type="dxa"/>
            </w:tcMar>
          </w:tcPr>
          <w:p w14:paraId="7320CDDA" w14:textId="77777777" w:rsidR="006624C7" w:rsidRDefault="00B50FEC">
            <w:pPr>
              <w:spacing w:before="30" w:after="30"/>
            </w:pPr>
            <w:r>
              <w:rPr>
                <w:sz w:val="19"/>
                <w:szCs w:val="19"/>
              </w:rPr>
              <w:t>Renovated</w:t>
            </w:r>
          </w:p>
        </w:tc>
        <w:tc>
          <w:tcPr>
            <w:tcW w:w="6795" w:type="dxa"/>
            <w:shd w:val="clear" w:color="auto" w:fill="F2F2F2"/>
            <w:tcMar>
              <w:top w:w="60" w:type="dxa"/>
              <w:left w:w="80" w:type="dxa"/>
              <w:bottom w:w="60" w:type="dxa"/>
              <w:right w:w="80" w:type="dxa"/>
            </w:tcMar>
          </w:tcPr>
          <w:p w14:paraId="7320CDDB" w14:textId="77777777" w:rsidR="006624C7" w:rsidRDefault="00B50FEC">
            <w:pPr>
              <w:spacing w:before="30" w:after="30"/>
            </w:pPr>
            <w:r>
              <w:rPr>
                <w:sz w:val="19"/>
                <w:szCs w:val="19"/>
              </w:rPr>
              <w:t>=</w:t>
            </w:r>
            <w:proofErr w:type="gramStart"/>
            <w:r>
              <w:rPr>
                <w:sz w:val="19"/>
                <w:szCs w:val="19"/>
              </w:rPr>
              <w:t>IF(OR(</w:t>
            </w:r>
            <w:proofErr w:type="gramEnd"/>
            <w:r>
              <w:rPr>
                <w:sz w:val="19"/>
                <w:szCs w:val="19"/>
              </w:rPr>
              <w:t>H="</w:t>
            </w:r>
            <w:proofErr w:type="gramStart"/>
            <w:r>
              <w:rPr>
                <w:sz w:val="19"/>
                <w:szCs w:val="19"/>
              </w:rPr>
              <w:t>",H</w:t>
            </w:r>
            <w:proofErr w:type="gramEnd"/>
            <w:r>
              <w:rPr>
                <w:sz w:val="19"/>
                <w:szCs w:val="19"/>
              </w:rPr>
              <w:t>="</w:t>
            </w:r>
            <w:proofErr w:type="spellStart"/>
            <w:r>
              <w:rPr>
                <w:sz w:val="19"/>
                <w:szCs w:val="19"/>
              </w:rPr>
              <w:t>Classic</w:t>
            </w:r>
            <w:proofErr w:type="gramStart"/>
            <w:r>
              <w:rPr>
                <w:sz w:val="19"/>
                <w:szCs w:val="19"/>
              </w:rPr>
              <w:t>",H</w:t>
            </w:r>
            <w:proofErr w:type="spellEnd"/>
            <w:proofErr w:type="gramEnd"/>
            <w:r>
              <w:rPr>
                <w:sz w:val="19"/>
                <w:szCs w:val="19"/>
              </w:rPr>
              <w:t>="Seller Reno Low"),"N","Y") — flags whether the unit has received a meaningful renovation. "Classic" and "Seller Reno Low" classifications are treated as un-renovated.</w:t>
            </w:r>
          </w:p>
        </w:tc>
      </w:tr>
      <w:tr w:rsidR="006624C7" w14:paraId="7320CDE0"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DD" w14:textId="77777777" w:rsidR="006624C7" w:rsidRDefault="00B50FEC">
            <w:pPr>
              <w:spacing w:before="30" w:after="30"/>
            </w:pPr>
            <w:r>
              <w:rPr>
                <w:sz w:val="19"/>
                <w:szCs w:val="19"/>
              </w:rPr>
              <w:t>Y</w:t>
            </w:r>
          </w:p>
        </w:tc>
        <w:tc>
          <w:tcPr>
            <w:tcW w:w="2800" w:type="dxa"/>
            <w:shd w:val="clear" w:color="auto" w:fill="FFFFFF"/>
            <w:tcMar>
              <w:top w:w="60" w:type="dxa"/>
              <w:left w:w="80" w:type="dxa"/>
              <w:bottom w:w="60" w:type="dxa"/>
              <w:right w:w="80" w:type="dxa"/>
            </w:tcMar>
          </w:tcPr>
          <w:p w14:paraId="7320CDDE" w14:textId="77777777" w:rsidR="006624C7" w:rsidRDefault="00B50FEC">
            <w:pPr>
              <w:spacing w:before="30" w:after="30"/>
            </w:pPr>
            <w:r>
              <w:rPr>
                <w:sz w:val="19"/>
                <w:szCs w:val="19"/>
              </w:rPr>
              <w:t>Renovation Completion Date</w:t>
            </w:r>
          </w:p>
        </w:tc>
        <w:tc>
          <w:tcPr>
            <w:tcW w:w="6795" w:type="dxa"/>
            <w:shd w:val="clear" w:color="auto" w:fill="FFFFFF"/>
            <w:tcMar>
              <w:top w:w="60" w:type="dxa"/>
              <w:left w:w="80" w:type="dxa"/>
              <w:bottom w:w="60" w:type="dxa"/>
              <w:right w:w="80" w:type="dxa"/>
            </w:tcMar>
          </w:tcPr>
          <w:p w14:paraId="7320CDDF" w14:textId="77777777" w:rsidR="006624C7" w:rsidRDefault="00B50FEC">
            <w:pPr>
              <w:spacing w:before="30" w:after="30"/>
            </w:pPr>
            <w:r>
              <w:rPr>
                <w:sz w:val="19"/>
                <w:szCs w:val="19"/>
              </w:rPr>
              <w:t>VLOOKUP(CONCAT(</w:t>
            </w:r>
            <w:proofErr w:type="gramStart"/>
            <w:r>
              <w:rPr>
                <w:sz w:val="19"/>
                <w:szCs w:val="19"/>
              </w:rPr>
              <w:t>C,B</w:t>
            </w:r>
            <w:proofErr w:type="gramEnd"/>
            <w:r>
              <w:rPr>
                <w:sz w:val="19"/>
                <w:szCs w:val="19"/>
              </w:rPr>
              <w:t xml:space="preserve">), </w:t>
            </w:r>
            <w:proofErr w:type="gramStart"/>
            <w:r>
              <w:rPr>
                <w:sz w:val="19"/>
                <w:szCs w:val="19"/>
              </w:rPr>
              <w:t>JobRenoTracker!B</w:t>
            </w:r>
            <w:proofErr w:type="gramEnd"/>
            <w:r>
              <w:rPr>
                <w:sz w:val="19"/>
                <w:szCs w:val="19"/>
              </w:rPr>
              <w:t>5:P, 15, FALSE) — retrieves the renovation completion date from column 15 of the Job Reno Tracker.</w:t>
            </w:r>
          </w:p>
        </w:tc>
      </w:tr>
    </w:tbl>
    <w:p w14:paraId="7320CDE1" w14:textId="77777777" w:rsidR="006624C7" w:rsidRDefault="006624C7">
      <w:pPr>
        <w:spacing w:after="160"/>
      </w:pPr>
    </w:p>
    <w:p w14:paraId="7320CDE2" w14:textId="77777777" w:rsidR="006624C7" w:rsidRDefault="00B50FEC">
      <w:pPr>
        <w:pStyle w:val="Heading2"/>
      </w:pPr>
      <w:proofErr w:type="gramStart"/>
      <w:r>
        <w:t>3.6  Rent</w:t>
      </w:r>
      <w:proofErr w:type="gramEnd"/>
      <w:r>
        <w:t xml:space="preserve"> Comparison &amp; Add-On Columns (Z – AG)</w:t>
      </w:r>
    </w:p>
    <w:p w14:paraId="7320CDE3" w14:textId="77777777" w:rsidR="006624C7" w:rsidRDefault="006624C7">
      <w:pPr>
        <w:spacing w:after="60"/>
      </w:pPr>
    </w:p>
    <w:p w14:paraId="7320CDE4" w14:textId="77777777" w:rsidR="006624C7" w:rsidRDefault="00B50FEC">
      <w:pPr>
        <w:spacing w:before="60" w:after="60"/>
      </w:pPr>
      <w:r>
        <w:rPr>
          <w:color w:val="1A1A1A"/>
          <w:sz w:val="22"/>
          <w:szCs w:val="22"/>
        </w:rPr>
        <w:t>These columns form the core rent-gap analysis of the tracker, comparing the legally permissible stabilized rent against current market rent at three add-on price scenarios.</w:t>
      </w:r>
    </w:p>
    <w:p w14:paraId="7320CDE5" w14:textId="77777777" w:rsidR="006624C7" w:rsidRDefault="006624C7">
      <w:pPr>
        <w:spacing w:after="80"/>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885"/>
      </w:tblGrid>
      <w:tr w:rsidR="006624C7" w14:paraId="7320CDE7" w14:textId="77777777" w:rsidTr="00FA6877">
        <w:tblPrEx>
          <w:tblCellMar>
            <w:top w:w="0" w:type="dxa"/>
            <w:bottom w:w="0" w:type="dxa"/>
          </w:tblCellMar>
        </w:tblPrEx>
        <w:tc>
          <w:tcPr>
            <w:tcW w:w="10885" w:type="dxa"/>
            <w:gridSpan w:val="2"/>
            <w:shd w:val="clear" w:color="auto" w:fill="2E75B6"/>
            <w:tcMar>
              <w:top w:w="80" w:type="dxa"/>
              <w:left w:w="120" w:type="dxa"/>
              <w:bottom w:w="80" w:type="dxa"/>
              <w:right w:w="120" w:type="dxa"/>
            </w:tcMar>
          </w:tcPr>
          <w:p w14:paraId="7320CDE6" w14:textId="77777777" w:rsidR="006624C7" w:rsidRDefault="00B50FEC">
            <w:r>
              <w:rPr>
                <w:b/>
                <w:bCs/>
                <w:color w:val="FFFFFF"/>
                <w:sz w:val="19"/>
                <w:szCs w:val="19"/>
              </w:rPr>
              <w:t>Col Z — Stabilized Rent / Max Rent (LRR)</w:t>
            </w:r>
          </w:p>
        </w:tc>
      </w:tr>
      <w:tr w:rsidR="006624C7" w14:paraId="7320CDEA"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E8" w14:textId="77777777" w:rsidR="006624C7" w:rsidRDefault="00B50FEC">
            <w:r>
              <w:rPr>
                <w:b/>
                <w:bCs/>
                <w:color w:val="2E75B6"/>
                <w:sz w:val="19"/>
                <w:szCs w:val="19"/>
              </w:rPr>
              <w:t>Formula</w:t>
            </w:r>
          </w:p>
        </w:tc>
        <w:tc>
          <w:tcPr>
            <w:tcW w:w="8885" w:type="dxa"/>
            <w:shd w:val="clear" w:color="auto" w:fill="F8F0FF"/>
            <w:tcMar>
              <w:top w:w="80" w:type="dxa"/>
              <w:left w:w="120" w:type="dxa"/>
              <w:bottom w:w="80" w:type="dxa"/>
              <w:right w:w="120" w:type="dxa"/>
            </w:tcMar>
          </w:tcPr>
          <w:p w14:paraId="7320CDE9" w14:textId="77777777" w:rsidR="006624C7" w:rsidRDefault="00B50FEC">
            <w:proofErr w:type="gramStart"/>
            <w:r>
              <w:rPr>
                <w:rFonts w:ascii="Courier New" w:eastAsia="Courier New" w:hAnsi="Courier New" w:cs="Courier New"/>
                <w:color w:val="7030A0"/>
              </w:rPr>
              <w:t>IFERROR(MAXIFS(INDEX(RR!A</w:t>
            </w:r>
            <w:proofErr w:type="gramEnd"/>
            <w:r>
              <w:rPr>
                <w:rFonts w:ascii="Courier New" w:eastAsia="Courier New" w:hAnsi="Courier New" w:cs="Courier New"/>
                <w:color w:val="7030A0"/>
              </w:rPr>
              <w:t xml:space="preserve">:ZZ, 0, </w:t>
            </w:r>
            <w:proofErr w:type="gramStart"/>
            <w:r>
              <w:rPr>
                <w:rFonts w:ascii="Courier New" w:eastAsia="Courier New" w:hAnsi="Courier New" w:cs="Courier New"/>
                <w:color w:val="7030A0"/>
              </w:rPr>
              <w:t>MATCH(</w:t>
            </w:r>
            <w:proofErr w:type="gramEnd"/>
            <w:r>
              <w:rPr>
                <w:rFonts w:ascii="Courier New" w:eastAsia="Courier New" w:hAnsi="Courier New" w:cs="Courier New"/>
                <w:color w:val="7030A0"/>
              </w:rPr>
              <w:t xml:space="preserve">"LRR", RR!24:24, 0)), </w:t>
            </w:r>
            <w:proofErr w:type="gramStart"/>
            <w:r>
              <w:rPr>
                <w:rFonts w:ascii="Courier New" w:eastAsia="Courier New" w:hAnsi="Courier New" w:cs="Courier New"/>
                <w:color w:val="7030A0"/>
              </w:rPr>
              <w:t>RR!C</w:t>
            </w:r>
            <w:proofErr w:type="gramEnd"/>
            <w:r>
              <w:rPr>
                <w:rFonts w:ascii="Courier New" w:eastAsia="Courier New" w:hAnsi="Courier New" w:cs="Courier New"/>
                <w:color w:val="7030A0"/>
              </w:rPr>
              <w:t xml:space="preserve">:C, "*Rent Controlled*", </w:t>
            </w:r>
            <w:proofErr w:type="gramStart"/>
            <w:r>
              <w:rPr>
                <w:rFonts w:ascii="Courier New" w:eastAsia="Courier New" w:hAnsi="Courier New" w:cs="Courier New"/>
                <w:color w:val="7030A0"/>
              </w:rPr>
              <w:t>RR!L</w:t>
            </w:r>
            <w:proofErr w:type="gramEnd"/>
            <w:r>
              <w:rPr>
                <w:rFonts w:ascii="Courier New" w:eastAsia="Courier New" w:hAnsi="Courier New" w:cs="Courier New"/>
                <w:color w:val="7030A0"/>
              </w:rPr>
              <w:t xml:space="preserve">:L, </w:t>
            </w:r>
            <w:proofErr w:type="spellStart"/>
            <w:r>
              <w:rPr>
                <w:rFonts w:ascii="Courier New" w:eastAsia="Courier New" w:hAnsi="Courier New" w:cs="Courier New"/>
                <w:color w:val="7030A0"/>
              </w:rPr>
              <w:t>EntityName</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RR!T</w:t>
            </w:r>
            <w:proofErr w:type="gramEnd"/>
            <w:r>
              <w:rPr>
                <w:rFonts w:ascii="Courier New" w:eastAsia="Courier New" w:hAnsi="Courier New" w:cs="Courier New"/>
                <w:color w:val="7030A0"/>
              </w:rPr>
              <w:t xml:space="preserve">:T, </w:t>
            </w:r>
            <w:proofErr w:type="spellStart"/>
            <w:r>
              <w:rPr>
                <w:rFonts w:ascii="Courier New" w:eastAsia="Courier New" w:hAnsi="Courier New" w:cs="Courier New"/>
                <w:color w:val="7030A0"/>
              </w:rPr>
              <w:t>UnitType</w:t>
            </w:r>
            <w:proofErr w:type="spellEnd"/>
            <w:r>
              <w:rPr>
                <w:rFonts w:ascii="Courier New" w:eastAsia="Courier New" w:hAnsi="Courier New" w:cs="Courier New"/>
                <w:color w:val="7030A0"/>
              </w:rPr>
              <w:t xml:space="preserve">, </w:t>
            </w:r>
            <w:proofErr w:type="gramStart"/>
            <w:r>
              <w:rPr>
                <w:rFonts w:ascii="Courier New" w:eastAsia="Courier New" w:hAnsi="Courier New" w:cs="Courier New"/>
                <w:color w:val="7030A0"/>
              </w:rPr>
              <w:t>RR!N</w:t>
            </w:r>
            <w:proofErr w:type="gramEnd"/>
            <w:r>
              <w:rPr>
                <w:rFonts w:ascii="Courier New" w:eastAsia="Courier New" w:hAnsi="Courier New" w:cs="Courier New"/>
                <w:color w:val="7030A0"/>
              </w:rPr>
              <w:t>:N, Unit), "")</w:t>
            </w:r>
          </w:p>
        </w:tc>
      </w:tr>
      <w:tr w:rsidR="006624C7" w14:paraId="7320CDED"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DEB" w14:textId="77777777" w:rsidR="006624C7" w:rsidRDefault="00B50FEC">
            <w:r>
              <w:rPr>
                <w:b/>
                <w:bCs/>
                <w:color w:val="2E75B6"/>
                <w:sz w:val="19"/>
                <w:szCs w:val="19"/>
              </w:rPr>
              <w:t>Logic</w:t>
            </w:r>
          </w:p>
        </w:tc>
        <w:tc>
          <w:tcPr>
            <w:tcW w:w="8885" w:type="dxa"/>
            <w:tcMar>
              <w:top w:w="80" w:type="dxa"/>
              <w:left w:w="120" w:type="dxa"/>
              <w:bottom w:w="80" w:type="dxa"/>
              <w:right w:w="120" w:type="dxa"/>
            </w:tcMar>
          </w:tcPr>
          <w:p w14:paraId="7320CDEC" w14:textId="77777777" w:rsidR="006624C7" w:rsidRDefault="00B50FEC">
            <w:r>
              <w:rPr>
                <w:sz w:val="19"/>
                <w:szCs w:val="19"/>
              </w:rPr>
              <w:t>Finds the Last Regulated Rent (LRR) — the maximum legal rent — for the unit. Uses MAXIFS across the rent roll with three conditions: property type contains "Rent Controlled", entity name matches, unit type matches, and unit number matches. MATCH is first used to dynamically locate the "LRR" column header in row 24 of RR(T-0), making the formula resilient to column reordering.</w:t>
            </w:r>
          </w:p>
        </w:tc>
      </w:tr>
    </w:tbl>
    <w:p w14:paraId="7320CDEE" w14:textId="77777777" w:rsidR="006624C7" w:rsidRDefault="006624C7">
      <w:pPr>
        <w:spacing w:after="80"/>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7285"/>
      </w:tblGrid>
      <w:tr w:rsidR="006624C7" w14:paraId="7320CDF2" w14:textId="77777777" w:rsidTr="00FA6877">
        <w:tblPrEx>
          <w:tblCellMar>
            <w:top w:w="0" w:type="dxa"/>
            <w:bottom w:w="0" w:type="dxa"/>
          </w:tblCellMar>
        </w:tblPrEx>
        <w:trPr>
          <w:tblHeader/>
        </w:trPr>
        <w:tc>
          <w:tcPr>
            <w:tcW w:w="1200" w:type="dxa"/>
            <w:shd w:val="clear" w:color="auto" w:fill="1F3864"/>
            <w:tcMar>
              <w:top w:w="80" w:type="dxa"/>
              <w:left w:w="80" w:type="dxa"/>
              <w:bottom w:w="80" w:type="dxa"/>
              <w:right w:w="80" w:type="dxa"/>
            </w:tcMar>
          </w:tcPr>
          <w:p w14:paraId="7320CDEF" w14:textId="77777777" w:rsidR="006624C7" w:rsidRDefault="00B50FEC">
            <w:pPr>
              <w:jc w:val="center"/>
            </w:pPr>
            <w:r>
              <w:rPr>
                <w:b/>
                <w:bCs/>
                <w:color w:val="FFFFFF"/>
                <w:sz w:val="19"/>
                <w:szCs w:val="19"/>
              </w:rPr>
              <w:t>Column</w:t>
            </w:r>
          </w:p>
        </w:tc>
        <w:tc>
          <w:tcPr>
            <w:tcW w:w="2400" w:type="dxa"/>
            <w:shd w:val="clear" w:color="auto" w:fill="1F3864"/>
            <w:tcMar>
              <w:top w:w="80" w:type="dxa"/>
              <w:left w:w="80" w:type="dxa"/>
              <w:bottom w:w="80" w:type="dxa"/>
              <w:right w:w="80" w:type="dxa"/>
            </w:tcMar>
          </w:tcPr>
          <w:p w14:paraId="7320CDF0" w14:textId="77777777" w:rsidR="006624C7" w:rsidRDefault="00B50FEC">
            <w:pPr>
              <w:jc w:val="center"/>
            </w:pPr>
            <w:r>
              <w:rPr>
                <w:b/>
                <w:bCs/>
                <w:color w:val="FFFFFF"/>
                <w:sz w:val="19"/>
                <w:szCs w:val="19"/>
              </w:rPr>
              <w:t>Header</w:t>
            </w:r>
          </w:p>
        </w:tc>
        <w:tc>
          <w:tcPr>
            <w:tcW w:w="7285" w:type="dxa"/>
            <w:shd w:val="clear" w:color="auto" w:fill="1F3864"/>
            <w:tcMar>
              <w:top w:w="80" w:type="dxa"/>
              <w:left w:w="80" w:type="dxa"/>
              <w:bottom w:w="80" w:type="dxa"/>
              <w:right w:w="80" w:type="dxa"/>
            </w:tcMar>
          </w:tcPr>
          <w:p w14:paraId="7320CDF1" w14:textId="77777777" w:rsidR="006624C7" w:rsidRDefault="00B50FEC">
            <w:pPr>
              <w:jc w:val="center"/>
            </w:pPr>
            <w:r>
              <w:rPr>
                <w:b/>
                <w:bCs/>
                <w:color w:val="FFFFFF"/>
                <w:sz w:val="19"/>
                <w:szCs w:val="19"/>
              </w:rPr>
              <w:t>Formula / Logic</w:t>
            </w:r>
          </w:p>
        </w:tc>
      </w:tr>
      <w:tr w:rsidR="006624C7" w14:paraId="7320CDF6"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F3" w14:textId="77777777" w:rsidR="006624C7" w:rsidRDefault="00B50FEC">
            <w:pPr>
              <w:spacing w:before="30" w:after="30"/>
            </w:pPr>
            <w:r>
              <w:rPr>
                <w:sz w:val="19"/>
                <w:szCs w:val="19"/>
              </w:rPr>
              <w:t>AA</w:t>
            </w:r>
          </w:p>
        </w:tc>
        <w:tc>
          <w:tcPr>
            <w:tcW w:w="2400" w:type="dxa"/>
            <w:shd w:val="clear" w:color="auto" w:fill="FFFFFF"/>
            <w:tcMar>
              <w:top w:w="60" w:type="dxa"/>
              <w:left w:w="80" w:type="dxa"/>
              <w:bottom w:w="60" w:type="dxa"/>
              <w:right w:w="80" w:type="dxa"/>
            </w:tcMar>
          </w:tcPr>
          <w:p w14:paraId="7320CDF4" w14:textId="77777777" w:rsidR="006624C7" w:rsidRDefault="00B50FEC">
            <w:pPr>
              <w:spacing w:before="30" w:after="30"/>
            </w:pPr>
            <w:r>
              <w:rPr>
                <w:sz w:val="19"/>
                <w:szCs w:val="19"/>
              </w:rPr>
              <w:t>Stabilized Rent + $50</w:t>
            </w:r>
          </w:p>
        </w:tc>
        <w:tc>
          <w:tcPr>
            <w:tcW w:w="7285" w:type="dxa"/>
            <w:shd w:val="clear" w:color="auto" w:fill="FFFFFF"/>
            <w:tcMar>
              <w:top w:w="60" w:type="dxa"/>
              <w:left w:w="80" w:type="dxa"/>
              <w:bottom w:w="60" w:type="dxa"/>
              <w:right w:w="80" w:type="dxa"/>
            </w:tcMar>
          </w:tcPr>
          <w:p w14:paraId="7320CDF5" w14:textId="77777777" w:rsidR="006624C7" w:rsidRDefault="00B50FEC">
            <w:pPr>
              <w:spacing w:before="30" w:after="30"/>
            </w:pPr>
            <w:r>
              <w:rPr>
                <w:sz w:val="19"/>
                <w:szCs w:val="19"/>
              </w:rPr>
              <w:t>=IF(OR(Z="</w:t>
            </w:r>
            <w:proofErr w:type="gramStart"/>
            <w:r>
              <w:rPr>
                <w:sz w:val="19"/>
                <w:szCs w:val="19"/>
              </w:rPr>
              <w:t>",Z</w:t>
            </w:r>
            <w:proofErr w:type="gramEnd"/>
            <w:r>
              <w:rPr>
                <w:sz w:val="19"/>
                <w:szCs w:val="19"/>
              </w:rPr>
              <w:t>=0), "", Z+$AA$5) — adds the first add-on threshold ($50, stored in cell AA5) to the stabilized rent. Returns blank if no stabilized rent exists.</w:t>
            </w:r>
          </w:p>
        </w:tc>
      </w:tr>
      <w:tr w:rsidR="006624C7" w14:paraId="7320CDFA"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F7" w14:textId="77777777" w:rsidR="006624C7" w:rsidRDefault="00B50FEC">
            <w:pPr>
              <w:spacing w:before="30" w:after="30"/>
            </w:pPr>
            <w:r>
              <w:rPr>
                <w:sz w:val="19"/>
                <w:szCs w:val="19"/>
              </w:rPr>
              <w:t>AB</w:t>
            </w:r>
          </w:p>
        </w:tc>
        <w:tc>
          <w:tcPr>
            <w:tcW w:w="2400" w:type="dxa"/>
            <w:shd w:val="clear" w:color="auto" w:fill="F2F2F2"/>
            <w:tcMar>
              <w:top w:w="60" w:type="dxa"/>
              <w:left w:w="80" w:type="dxa"/>
              <w:bottom w:w="60" w:type="dxa"/>
              <w:right w:w="80" w:type="dxa"/>
            </w:tcMar>
          </w:tcPr>
          <w:p w14:paraId="7320CDF8" w14:textId="77777777" w:rsidR="006624C7" w:rsidRDefault="00B50FEC">
            <w:pPr>
              <w:spacing w:before="30" w:after="30"/>
            </w:pPr>
            <w:r>
              <w:rPr>
                <w:sz w:val="19"/>
                <w:szCs w:val="19"/>
              </w:rPr>
              <w:t>Stabilized Rent + $100</w:t>
            </w:r>
          </w:p>
        </w:tc>
        <w:tc>
          <w:tcPr>
            <w:tcW w:w="7285" w:type="dxa"/>
            <w:shd w:val="clear" w:color="auto" w:fill="F2F2F2"/>
            <w:tcMar>
              <w:top w:w="60" w:type="dxa"/>
              <w:left w:w="80" w:type="dxa"/>
              <w:bottom w:w="60" w:type="dxa"/>
              <w:right w:w="80" w:type="dxa"/>
            </w:tcMar>
          </w:tcPr>
          <w:p w14:paraId="7320CDF9" w14:textId="77777777" w:rsidR="006624C7" w:rsidRDefault="00B50FEC">
            <w:pPr>
              <w:spacing w:before="30" w:after="30"/>
            </w:pPr>
            <w:r>
              <w:rPr>
                <w:sz w:val="19"/>
                <w:szCs w:val="19"/>
              </w:rPr>
              <w:t>=IF(OR(Z="</w:t>
            </w:r>
            <w:proofErr w:type="gramStart"/>
            <w:r>
              <w:rPr>
                <w:sz w:val="19"/>
                <w:szCs w:val="19"/>
              </w:rPr>
              <w:t>",Z</w:t>
            </w:r>
            <w:proofErr w:type="gramEnd"/>
            <w:r>
              <w:rPr>
                <w:sz w:val="19"/>
                <w:szCs w:val="19"/>
              </w:rPr>
              <w:t>=0), "", Z+$AB$5) — adds the second add-on threshold ($100).</w:t>
            </w:r>
          </w:p>
        </w:tc>
      </w:tr>
      <w:tr w:rsidR="006624C7" w14:paraId="7320CDFE"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DFB" w14:textId="77777777" w:rsidR="006624C7" w:rsidRDefault="00B50FEC">
            <w:pPr>
              <w:spacing w:before="30" w:after="30"/>
            </w:pPr>
            <w:r>
              <w:rPr>
                <w:sz w:val="19"/>
                <w:szCs w:val="19"/>
              </w:rPr>
              <w:t>AC</w:t>
            </w:r>
          </w:p>
        </w:tc>
        <w:tc>
          <w:tcPr>
            <w:tcW w:w="2400" w:type="dxa"/>
            <w:shd w:val="clear" w:color="auto" w:fill="FFFFFF"/>
            <w:tcMar>
              <w:top w:w="60" w:type="dxa"/>
              <w:left w:w="80" w:type="dxa"/>
              <w:bottom w:w="60" w:type="dxa"/>
              <w:right w:w="80" w:type="dxa"/>
            </w:tcMar>
          </w:tcPr>
          <w:p w14:paraId="7320CDFC" w14:textId="77777777" w:rsidR="006624C7" w:rsidRDefault="00B50FEC">
            <w:pPr>
              <w:spacing w:before="30" w:after="30"/>
            </w:pPr>
            <w:r>
              <w:rPr>
                <w:sz w:val="19"/>
                <w:szCs w:val="19"/>
              </w:rPr>
              <w:t>Stabilized Rent + $200</w:t>
            </w:r>
          </w:p>
        </w:tc>
        <w:tc>
          <w:tcPr>
            <w:tcW w:w="7285" w:type="dxa"/>
            <w:shd w:val="clear" w:color="auto" w:fill="FFFFFF"/>
            <w:tcMar>
              <w:top w:w="60" w:type="dxa"/>
              <w:left w:w="80" w:type="dxa"/>
              <w:bottom w:w="60" w:type="dxa"/>
              <w:right w:w="80" w:type="dxa"/>
            </w:tcMar>
          </w:tcPr>
          <w:p w14:paraId="7320CDFD" w14:textId="77777777" w:rsidR="006624C7" w:rsidRDefault="00B50FEC">
            <w:pPr>
              <w:spacing w:before="30" w:after="30"/>
            </w:pPr>
            <w:r>
              <w:rPr>
                <w:sz w:val="19"/>
                <w:szCs w:val="19"/>
              </w:rPr>
              <w:t>=IF(OR(Z="</w:t>
            </w:r>
            <w:proofErr w:type="gramStart"/>
            <w:r>
              <w:rPr>
                <w:sz w:val="19"/>
                <w:szCs w:val="19"/>
              </w:rPr>
              <w:t>",Z</w:t>
            </w:r>
            <w:proofErr w:type="gramEnd"/>
            <w:r>
              <w:rPr>
                <w:sz w:val="19"/>
                <w:szCs w:val="19"/>
              </w:rPr>
              <w:t>=0), "", Z+$AC$5) — adds the third add-on threshold ($200).</w:t>
            </w:r>
          </w:p>
        </w:tc>
      </w:tr>
      <w:tr w:rsidR="006624C7" w14:paraId="7320CE02"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DFF" w14:textId="77777777" w:rsidR="006624C7" w:rsidRDefault="00B50FEC">
            <w:pPr>
              <w:spacing w:before="30" w:after="30"/>
            </w:pPr>
            <w:r>
              <w:rPr>
                <w:sz w:val="19"/>
                <w:szCs w:val="19"/>
              </w:rPr>
              <w:t>AD</w:t>
            </w:r>
          </w:p>
        </w:tc>
        <w:tc>
          <w:tcPr>
            <w:tcW w:w="2400" w:type="dxa"/>
            <w:shd w:val="clear" w:color="auto" w:fill="F2F2F2"/>
            <w:tcMar>
              <w:top w:w="60" w:type="dxa"/>
              <w:left w:w="80" w:type="dxa"/>
              <w:bottom w:w="60" w:type="dxa"/>
              <w:right w:w="80" w:type="dxa"/>
            </w:tcMar>
          </w:tcPr>
          <w:p w14:paraId="7320CE00" w14:textId="77777777" w:rsidR="006624C7" w:rsidRDefault="00B50FEC">
            <w:pPr>
              <w:spacing w:before="30" w:after="30"/>
            </w:pPr>
            <w:r>
              <w:rPr>
                <w:sz w:val="19"/>
                <w:szCs w:val="19"/>
              </w:rPr>
              <w:t>Current Market Rent (Same Unit Type)</w:t>
            </w:r>
          </w:p>
        </w:tc>
        <w:tc>
          <w:tcPr>
            <w:tcW w:w="7285" w:type="dxa"/>
            <w:shd w:val="clear" w:color="auto" w:fill="F2F2F2"/>
            <w:tcMar>
              <w:top w:w="60" w:type="dxa"/>
              <w:left w:w="80" w:type="dxa"/>
              <w:bottom w:w="60" w:type="dxa"/>
              <w:right w:w="80" w:type="dxa"/>
            </w:tcMar>
          </w:tcPr>
          <w:p w14:paraId="7320CE01" w14:textId="77777777" w:rsidR="006624C7" w:rsidRDefault="00B50FEC">
            <w:pPr>
              <w:spacing w:before="30" w:after="30"/>
            </w:pPr>
            <w:r>
              <w:rPr>
                <w:sz w:val="19"/>
                <w:szCs w:val="19"/>
              </w:rPr>
              <w:t>Hardcoded — entered by the analyst as the prevailing market rent for the same unit type at that property. Used as the benchmark for variance calculations.</w:t>
            </w:r>
          </w:p>
        </w:tc>
      </w:tr>
      <w:tr w:rsidR="006624C7" w14:paraId="7320CE06"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E03" w14:textId="77777777" w:rsidR="006624C7" w:rsidRDefault="00B50FEC">
            <w:pPr>
              <w:spacing w:before="30" w:after="30"/>
            </w:pPr>
            <w:r>
              <w:rPr>
                <w:sz w:val="19"/>
                <w:szCs w:val="19"/>
              </w:rPr>
              <w:t>AE</w:t>
            </w:r>
          </w:p>
        </w:tc>
        <w:tc>
          <w:tcPr>
            <w:tcW w:w="2400" w:type="dxa"/>
            <w:shd w:val="clear" w:color="auto" w:fill="FFFFFF"/>
            <w:tcMar>
              <w:top w:w="60" w:type="dxa"/>
              <w:left w:w="80" w:type="dxa"/>
              <w:bottom w:w="60" w:type="dxa"/>
              <w:right w:w="80" w:type="dxa"/>
            </w:tcMar>
          </w:tcPr>
          <w:p w14:paraId="7320CE04" w14:textId="77777777" w:rsidR="006624C7" w:rsidRDefault="00B50FEC">
            <w:pPr>
              <w:spacing w:before="30" w:after="30"/>
            </w:pPr>
            <w:r>
              <w:rPr>
                <w:sz w:val="19"/>
                <w:szCs w:val="19"/>
              </w:rPr>
              <w:t>Variance: Mkt Rent vs Stabilized + $50</w:t>
            </w:r>
          </w:p>
        </w:tc>
        <w:tc>
          <w:tcPr>
            <w:tcW w:w="7285" w:type="dxa"/>
            <w:shd w:val="clear" w:color="auto" w:fill="FFFFFF"/>
            <w:tcMar>
              <w:top w:w="60" w:type="dxa"/>
              <w:left w:w="80" w:type="dxa"/>
              <w:bottom w:w="60" w:type="dxa"/>
              <w:right w:w="80" w:type="dxa"/>
            </w:tcMar>
          </w:tcPr>
          <w:p w14:paraId="7320CE05" w14:textId="77777777" w:rsidR="006624C7" w:rsidRDefault="00B50FEC">
            <w:pPr>
              <w:spacing w:before="30" w:after="30"/>
            </w:pPr>
            <w:r>
              <w:rPr>
                <w:sz w:val="19"/>
                <w:szCs w:val="19"/>
              </w:rPr>
              <w:t>=IF(OR(AD="</w:t>
            </w:r>
            <w:proofErr w:type="gramStart"/>
            <w:r>
              <w:rPr>
                <w:sz w:val="19"/>
                <w:szCs w:val="19"/>
              </w:rPr>
              <w:t>",AA</w:t>
            </w:r>
            <w:proofErr w:type="gramEnd"/>
            <w:r>
              <w:rPr>
                <w:sz w:val="19"/>
                <w:szCs w:val="19"/>
              </w:rPr>
              <w:t>=""),"</w:t>
            </w:r>
            <w:proofErr w:type="gramStart"/>
            <w:r>
              <w:rPr>
                <w:sz w:val="19"/>
                <w:szCs w:val="19"/>
              </w:rPr>
              <w:t>",AD</w:t>
            </w:r>
            <w:proofErr w:type="gramEnd"/>
            <w:r>
              <w:rPr>
                <w:sz w:val="19"/>
                <w:szCs w:val="19"/>
              </w:rPr>
              <w:t>-AA) — market rent minus (stabilized + $50). Positive = market rent is higher (rent gap exists). Negative = stabilized rent already at/above market.</w:t>
            </w:r>
          </w:p>
        </w:tc>
      </w:tr>
      <w:tr w:rsidR="006624C7" w14:paraId="7320CE0A" w14:textId="77777777" w:rsidTr="00FA6877">
        <w:tblPrEx>
          <w:tblCellMar>
            <w:top w:w="0" w:type="dxa"/>
            <w:bottom w:w="0" w:type="dxa"/>
          </w:tblCellMar>
        </w:tblPrEx>
        <w:tc>
          <w:tcPr>
            <w:tcW w:w="1200" w:type="dxa"/>
            <w:shd w:val="clear" w:color="auto" w:fill="F2F2F2"/>
            <w:tcMar>
              <w:top w:w="60" w:type="dxa"/>
              <w:left w:w="80" w:type="dxa"/>
              <w:bottom w:w="60" w:type="dxa"/>
              <w:right w:w="80" w:type="dxa"/>
            </w:tcMar>
          </w:tcPr>
          <w:p w14:paraId="7320CE07" w14:textId="77777777" w:rsidR="006624C7" w:rsidRDefault="00B50FEC">
            <w:pPr>
              <w:spacing w:before="30" w:after="30"/>
            </w:pPr>
            <w:r>
              <w:rPr>
                <w:sz w:val="19"/>
                <w:szCs w:val="19"/>
              </w:rPr>
              <w:t>AF</w:t>
            </w:r>
          </w:p>
        </w:tc>
        <w:tc>
          <w:tcPr>
            <w:tcW w:w="2400" w:type="dxa"/>
            <w:shd w:val="clear" w:color="auto" w:fill="F2F2F2"/>
            <w:tcMar>
              <w:top w:w="60" w:type="dxa"/>
              <w:left w:w="80" w:type="dxa"/>
              <w:bottom w:w="60" w:type="dxa"/>
              <w:right w:w="80" w:type="dxa"/>
            </w:tcMar>
          </w:tcPr>
          <w:p w14:paraId="7320CE08" w14:textId="77777777" w:rsidR="006624C7" w:rsidRDefault="00B50FEC">
            <w:pPr>
              <w:spacing w:before="30" w:after="30"/>
            </w:pPr>
            <w:r>
              <w:rPr>
                <w:sz w:val="19"/>
                <w:szCs w:val="19"/>
              </w:rPr>
              <w:t>Variance: Mkt Rent vs Stabilized + $100</w:t>
            </w:r>
          </w:p>
        </w:tc>
        <w:tc>
          <w:tcPr>
            <w:tcW w:w="7285" w:type="dxa"/>
            <w:shd w:val="clear" w:color="auto" w:fill="F2F2F2"/>
            <w:tcMar>
              <w:top w:w="60" w:type="dxa"/>
              <w:left w:w="80" w:type="dxa"/>
              <w:bottom w:w="60" w:type="dxa"/>
              <w:right w:w="80" w:type="dxa"/>
            </w:tcMar>
          </w:tcPr>
          <w:p w14:paraId="7320CE09" w14:textId="77777777" w:rsidR="006624C7" w:rsidRDefault="00B50FEC">
            <w:pPr>
              <w:spacing w:before="30" w:after="30"/>
            </w:pPr>
            <w:r>
              <w:rPr>
                <w:sz w:val="19"/>
                <w:szCs w:val="19"/>
              </w:rPr>
              <w:t>=IF(OR(AD="</w:t>
            </w:r>
            <w:proofErr w:type="gramStart"/>
            <w:r>
              <w:rPr>
                <w:sz w:val="19"/>
                <w:szCs w:val="19"/>
              </w:rPr>
              <w:t>",AB</w:t>
            </w:r>
            <w:proofErr w:type="gramEnd"/>
            <w:r>
              <w:rPr>
                <w:sz w:val="19"/>
                <w:szCs w:val="19"/>
              </w:rPr>
              <w:t>=""),"</w:t>
            </w:r>
            <w:proofErr w:type="gramStart"/>
            <w:r>
              <w:rPr>
                <w:sz w:val="19"/>
                <w:szCs w:val="19"/>
              </w:rPr>
              <w:t>",AD</w:t>
            </w:r>
            <w:proofErr w:type="gramEnd"/>
            <w:r>
              <w:rPr>
                <w:sz w:val="19"/>
                <w:szCs w:val="19"/>
              </w:rPr>
              <w:t>-AB) — same calculation with $100 add-on.</w:t>
            </w:r>
          </w:p>
        </w:tc>
      </w:tr>
      <w:tr w:rsidR="006624C7" w14:paraId="7320CE0E" w14:textId="77777777" w:rsidTr="00FA6877">
        <w:tblPrEx>
          <w:tblCellMar>
            <w:top w:w="0" w:type="dxa"/>
            <w:bottom w:w="0" w:type="dxa"/>
          </w:tblCellMar>
        </w:tblPrEx>
        <w:tc>
          <w:tcPr>
            <w:tcW w:w="1200" w:type="dxa"/>
            <w:shd w:val="clear" w:color="auto" w:fill="FFFFFF"/>
            <w:tcMar>
              <w:top w:w="60" w:type="dxa"/>
              <w:left w:w="80" w:type="dxa"/>
              <w:bottom w:w="60" w:type="dxa"/>
              <w:right w:w="80" w:type="dxa"/>
            </w:tcMar>
          </w:tcPr>
          <w:p w14:paraId="7320CE0B" w14:textId="77777777" w:rsidR="006624C7" w:rsidRDefault="00B50FEC">
            <w:pPr>
              <w:spacing w:before="30" w:after="30"/>
            </w:pPr>
            <w:r>
              <w:rPr>
                <w:sz w:val="19"/>
                <w:szCs w:val="19"/>
              </w:rPr>
              <w:t>AG</w:t>
            </w:r>
          </w:p>
        </w:tc>
        <w:tc>
          <w:tcPr>
            <w:tcW w:w="2400" w:type="dxa"/>
            <w:shd w:val="clear" w:color="auto" w:fill="FFFFFF"/>
            <w:tcMar>
              <w:top w:w="60" w:type="dxa"/>
              <w:left w:w="80" w:type="dxa"/>
              <w:bottom w:w="60" w:type="dxa"/>
              <w:right w:w="80" w:type="dxa"/>
            </w:tcMar>
          </w:tcPr>
          <w:p w14:paraId="7320CE0C" w14:textId="77777777" w:rsidR="006624C7" w:rsidRDefault="00B50FEC">
            <w:pPr>
              <w:spacing w:before="30" w:after="30"/>
            </w:pPr>
            <w:r>
              <w:rPr>
                <w:sz w:val="19"/>
                <w:szCs w:val="19"/>
              </w:rPr>
              <w:t>Variance: Mkt Rent vs Stabilized + $200</w:t>
            </w:r>
          </w:p>
        </w:tc>
        <w:tc>
          <w:tcPr>
            <w:tcW w:w="7285" w:type="dxa"/>
            <w:shd w:val="clear" w:color="auto" w:fill="FFFFFF"/>
            <w:tcMar>
              <w:top w:w="60" w:type="dxa"/>
              <w:left w:w="80" w:type="dxa"/>
              <w:bottom w:w="60" w:type="dxa"/>
              <w:right w:w="80" w:type="dxa"/>
            </w:tcMar>
          </w:tcPr>
          <w:p w14:paraId="7320CE0D" w14:textId="77777777" w:rsidR="006624C7" w:rsidRDefault="00B50FEC">
            <w:pPr>
              <w:spacing w:before="30" w:after="30"/>
            </w:pPr>
            <w:r>
              <w:rPr>
                <w:sz w:val="19"/>
                <w:szCs w:val="19"/>
              </w:rPr>
              <w:t>=IF(OR(AD="</w:t>
            </w:r>
            <w:proofErr w:type="gramStart"/>
            <w:r>
              <w:rPr>
                <w:sz w:val="19"/>
                <w:szCs w:val="19"/>
              </w:rPr>
              <w:t>",AC</w:t>
            </w:r>
            <w:proofErr w:type="gramEnd"/>
            <w:r>
              <w:rPr>
                <w:sz w:val="19"/>
                <w:szCs w:val="19"/>
              </w:rPr>
              <w:t>=""),"</w:t>
            </w:r>
            <w:proofErr w:type="gramStart"/>
            <w:r>
              <w:rPr>
                <w:sz w:val="19"/>
                <w:szCs w:val="19"/>
              </w:rPr>
              <w:t>",AD</w:t>
            </w:r>
            <w:proofErr w:type="gramEnd"/>
            <w:r>
              <w:rPr>
                <w:sz w:val="19"/>
                <w:szCs w:val="19"/>
              </w:rPr>
              <w:t>-AC) — same calculation with $200 add-on.</w:t>
            </w:r>
          </w:p>
        </w:tc>
      </w:tr>
    </w:tbl>
    <w:p w14:paraId="7320CE0F" w14:textId="77777777" w:rsidR="006624C7" w:rsidRDefault="006624C7">
      <w:pPr>
        <w:spacing w:after="160"/>
      </w:pPr>
    </w:p>
    <w:p w14:paraId="7320CE10" w14:textId="77777777" w:rsidR="006624C7" w:rsidRDefault="00B50FEC">
      <w:pPr>
        <w:pStyle w:val="Heading2"/>
      </w:pPr>
      <w:proofErr w:type="gramStart"/>
      <w:r>
        <w:t>3.7  Heat</w:t>
      </w:r>
      <w:proofErr w:type="gramEnd"/>
      <w:r>
        <w:t xml:space="preserve"> Map Legend (Columns AD – AG)</w:t>
      </w:r>
    </w:p>
    <w:p w14:paraId="7320CE11" w14:textId="77777777" w:rsidR="006624C7" w:rsidRDefault="006624C7">
      <w:pPr>
        <w:spacing w:after="60"/>
      </w:pPr>
    </w:p>
    <w:p w14:paraId="7320CE12" w14:textId="77777777" w:rsidR="006624C7" w:rsidRDefault="00B50FEC">
      <w:pPr>
        <w:spacing w:before="60" w:after="60"/>
      </w:pPr>
      <w:r>
        <w:rPr>
          <w:color w:val="1A1A1A"/>
          <w:sz w:val="22"/>
          <w:szCs w:val="22"/>
        </w:rPr>
        <w:t>Conditional formatting is applied to columns AD–AG to provide an instant visual signal of rent positioning relative to market:</w:t>
      </w:r>
    </w:p>
    <w:p w14:paraId="7320CE13" w14:textId="77777777" w:rsidR="006624C7" w:rsidRDefault="006624C7">
      <w:pPr>
        <w:spacing w:after="6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395"/>
      </w:tblGrid>
      <w:tr w:rsidR="006624C7" w14:paraId="7320CE16" w14:textId="77777777" w:rsidTr="00FA6877">
        <w:tblPrEx>
          <w:tblCellMar>
            <w:top w:w="0" w:type="dxa"/>
            <w:bottom w:w="0" w:type="dxa"/>
          </w:tblCellMar>
        </w:tblPrEx>
        <w:trPr>
          <w:tblHeader/>
        </w:trPr>
        <w:tc>
          <w:tcPr>
            <w:tcW w:w="1400" w:type="dxa"/>
            <w:shd w:val="clear" w:color="auto" w:fill="1F3864"/>
            <w:tcMar>
              <w:top w:w="80" w:type="dxa"/>
              <w:left w:w="80" w:type="dxa"/>
              <w:bottom w:w="80" w:type="dxa"/>
              <w:right w:w="80" w:type="dxa"/>
            </w:tcMar>
          </w:tcPr>
          <w:p w14:paraId="7320CE14" w14:textId="77777777" w:rsidR="006624C7" w:rsidRDefault="00B50FEC">
            <w:pPr>
              <w:jc w:val="center"/>
            </w:pPr>
            <w:r>
              <w:rPr>
                <w:b/>
                <w:bCs/>
                <w:color w:val="FFFFFF"/>
                <w:sz w:val="19"/>
                <w:szCs w:val="19"/>
              </w:rPr>
              <w:lastRenderedPageBreak/>
              <w:t>Colour</w:t>
            </w:r>
          </w:p>
        </w:tc>
        <w:tc>
          <w:tcPr>
            <w:tcW w:w="9395" w:type="dxa"/>
            <w:shd w:val="clear" w:color="auto" w:fill="1F3864"/>
            <w:tcMar>
              <w:top w:w="80" w:type="dxa"/>
              <w:left w:w="80" w:type="dxa"/>
              <w:bottom w:w="80" w:type="dxa"/>
              <w:right w:w="80" w:type="dxa"/>
            </w:tcMar>
          </w:tcPr>
          <w:p w14:paraId="7320CE15" w14:textId="77777777" w:rsidR="006624C7" w:rsidRDefault="00B50FEC">
            <w:pPr>
              <w:jc w:val="center"/>
            </w:pPr>
            <w:r>
              <w:rPr>
                <w:b/>
                <w:bCs/>
                <w:color w:val="FFFFFF"/>
                <w:sz w:val="19"/>
                <w:szCs w:val="19"/>
              </w:rPr>
              <w:t>Meaning</w:t>
            </w:r>
          </w:p>
        </w:tc>
      </w:tr>
      <w:tr w:rsidR="006624C7" w14:paraId="7320CE19" w14:textId="77777777" w:rsidTr="00FA6877">
        <w:tblPrEx>
          <w:tblCellMar>
            <w:top w:w="0" w:type="dxa"/>
            <w:bottom w:w="0" w:type="dxa"/>
          </w:tblCellMar>
        </w:tblPrEx>
        <w:tc>
          <w:tcPr>
            <w:tcW w:w="1400" w:type="dxa"/>
            <w:shd w:val="clear" w:color="auto" w:fill="E2EFDA"/>
            <w:tcMar>
              <w:top w:w="80" w:type="dxa"/>
              <w:left w:w="80" w:type="dxa"/>
              <w:bottom w:w="80" w:type="dxa"/>
              <w:right w:w="80" w:type="dxa"/>
            </w:tcMar>
          </w:tcPr>
          <w:p w14:paraId="7320CE17" w14:textId="77777777" w:rsidR="006624C7" w:rsidRDefault="00B50FEC">
            <w:pPr>
              <w:jc w:val="center"/>
            </w:pPr>
            <w:r>
              <w:rPr>
                <w:b/>
                <w:bCs/>
                <w:color w:val="375623"/>
              </w:rPr>
              <w:t>Green</w:t>
            </w:r>
          </w:p>
        </w:tc>
        <w:tc>
          <w:tcPr>
            <w:tcW w:w="9395" w:type="dxa"/>
            <w:shd w:val="clear" w:color="auto" w:fill="E2EFDA"/>
            <w:tcMar>
              <w:top w:w="80" w:type="dxa"/>
              <w:left w:w="100" w:type="dxa"/>
              <w:bottom w:w="80" w:type="dxa"/>
              <w:right w:w="100" w:type="dxa"/>
            </w:tcMar>
          </w:tcPr>
          <w:p w14:paraId="7320CE18" w14:textId="77777777" w:rsidR="006624C7" w:rsidRDefault="00B50FEC">
            <w:r>
              <w:t>Stabilized rent is at or above market rent — unit can be leased immediately at a competitive rent. Income opportunity.</w:t>
            </w:r>
          </w:p>
        </w:tc>
      </w:tr>
      <w:tr w:rsidR="006624C7" w14:paraId="7320CE1C" w14:textId="77777777" w:rsidTr="00FA6877">
        <w:tblPrEx>
          <w:tblCellMar>
            <w:top w:w="0" w:type="dxa"/>
            <w:bottom w:w="0" w:type="dxa"/>
          </w:tblCellMar>
        </w:tblPrEx>
        <w:tc>
          <w:tcPr>
            <w:tcW w:w="1400" w:type="dxa"/>
            <w:tcMar>
              <w:top w:w="80" w:type="dxa"/>
              <w:left w:w="80" w:type="dxa"/>
              <w:bottom w:w="80" w:type="dxa"/>
              <w:right w:w="80" w:type="dxa"/>
            </w:tcMar>
          </w:tcPr>
          <w:p w14:paraId="7320CE1A" w14:textId="77777777" w:rsidR="006624C7" w:rsidRDefault="00B50FEC">
            <w:pPr>
              <w:jc w:val="center"/>
            </w:pPr>
            <w:r>
              <w:rPr>
                <w:b/>
                <w:bCs/>
              </w:rPr>
              <w:t>White</w:t>
            </w:r>
          </w:p>
        </w:tc>
        <w:tc>
          <w:tcPr>
            <w:tcW w:w="9395" w:type="dxa"/>
            <w:tcMar>
              <w:top w:w="80" w:type="dxa"/>
              <w:left w:w="100" w:type="dxa"/>
              <w:bottom w:w="80" w:type="dxa"/>
              <w:right w:w="100" w:type="dxa"/>
            </w:tcMar>
          </w:tcPr>
          <w:p w14:paraId="7320CE1B" w14:textId="77777777" w:rsidR="006624C7" w:rsidRDefault="00B50FEC">
            <w:r>
              <w:t>Market rent is approximately at parity with the stabilized rent — neutral position.</w:t>
            </w:r>
          </w:p>
        </w:tc>
      </w:tr>
      <w:tr w:rsidR="006624C7" w14:paraId="7320CE1F" w14:textId="77777777" w:rsidTr="00FA6877">
        <w:tblPrEx>
          <w:tblCellMar>
            <w:top w:w="0" w:type="dxa"/>
            <w:bottom w:w="0" w:type="dxa"/>
          </w:tblCellMar>
        </w:tblPrEx>
        <w:tc>
          <w:tcPr>
            <w:tcW w:w="1400" w:type="dxa"/>
            <w:shd w:val="clear" w:color="auto" w:fill="FFDCE1"/>
            <w:tcMar>
              <w:top w:w="80" w:type="dxa"/>
              <w:left w:w="80" w:type="dxa"/>
              <w:bottom w:w="80" w:type="dxa"/>
              <w:right w:w="80" w:type="dxa"/>
            </w:tcMar>
          </w:tcPr>
          <w:p w14:paraId="7320CE1D" w14:textId="77777777" w:rsidR="006624C7" w:rsidRDefault="00B50FEC">
            <w:pPr>
              <w:jc w:val="center"/>
            </w:pPr>
            <w:r>
              <w:rPr>
                <w:b/>
                <w:bCs/>
                <w:color w:val="9C0006"/>
              </w:rPr>
              <w:t>Red</w:t>
            </w:r>
          </w:p>
        </w:tc>
        <w:tc>
          <w:tcPr>
            <w:tcW w:w="9395" w:type="dxa"/>
            <w:shd w:val="clear" w:color="auto" w:fill="FFDCE1"/>
            <w:tcMar>
              <w:top w:w="80" w:type="dxa"/>
              <w:left w:w="100" w:type="dxa"/>
              <w:bottom w:w="80" w:type="dxa"/>
              <w:right w:w="100" w:type="dxa"/>
            </w:tcMar>
          </w:tcPr>
          <w:p w14:paraId="7320CE1E" w14:textId="77777777" w:rsidR="006624C7" w:rsidRDefault="00B50FEC">
            <w:r>
              <w:t>Market rent exceeds stabilized (max legal) rent — the unit is capped by rent control and the full market premium cannot be captured except via qualifying renovation add-ons.</w:t>
            </w:r>
          </w:p>
        </w:tc>
      </w:tr>
    </w:tbl>
    <w:p w14:paraId="7320CE20" w14:textId="77777777" w:rsidR="006624C7" w:rsidRDefault="006624C7">
      <w:pPr>
        <w:spacing w:after="160"/>
      </w:pPr>
    </w:p>
    <w:p w14:paraId="7320CE21" w14:textId="77777777" w:rsidR="006624C7" w:rsidRDefault="00B50FEC">
      <w:pPr>
        <w:pStyle w:val="Heading2"/>
      </w:pPr>
      <w:proofErr w:type="gramStart"/>
      <w:r>
        <w:t>3.8  Action</w:t>
      </w:r>
      <w:proofErr w:type="gramEnd"/>
      <w:r>
        <w:t xml:space="preserve"> Recommendation Columns (AH – AJ)</w:t>
      </w:r>
    </w:p>
    <w:p w14:paraId="7320CE22" w14:textId="77777777" w:rsidR="006624C7" w:rsidRDefault="006624C7">
      <w:pPr>
        <w:spacing w:after="6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795"/>
      </w:tblGrid>
      <w:tr w:rsidR="006624C7" w14:paraId="7320CE24" w14:textId="77777777" w:rsidTr="00FA6877">
        <w:tblPrEx>
          <w:tblCellMar>
            <w:top w:w="0" w:type="dxa"/>
            <w:bottom w:w="0" w:type="dxa"/>
          </w:tblCellMar>
        </w:tblPrEx>
        <w:tc>
          <w:tcPr>
            <w:tcW w:w="10795" w:type="dxa"/>
            <w:gridSpan w:val="2"/>
            <w:shd w:val="clear" w:color="auto" w:fill="2E75B6"/>
            <w:tcMar>
              <w:top w:w="80" w:type="dxa"/>
              <w:left w:w="120" w:type="dxa"/>
              <w:bottom w:w="80" w:type="dxa"/>
              <w:right w:w="120" w:type="dxa"/>
            </w:tcMar>
          </w:tcPr>
          <w:p w14:paraId="7320CE23" w14:textId="77777777" w:rsidR="006624C7" w:rsidRDefault="00B50FEC">
            <w:r>
              <w:rPr>
                <w:b/>
                <w:bCs/>
                <w:color w:val="FFFFFF"/>
                <w:sz w:val="19"/>
                <w:szCs w:val="19"/>
              </w:rPr>
              <w:t>Col AJ — Recommended Action (Decision Tree)</w:t>
            </w:r>
          </w:p>
        </w:tc>
      </w:tr>
      <w:tr w:rsidR="006624C7" w14:paraId="7320CE27"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E25" w14:textId="77777777" w:rsidR="006624C7" w:rsidRDefault="00B50FEC">
            <w:r>
              <w:rPr>
                <w:b/>
                <w:bCs/>
                <w:color w:val="2E75B6"/>
                <w:sz w:val="19"/>
                <w:szCs w:val="19"/>
              </w:rPr>
              <w:t>Formula</w:t>
            </w:r>
          </w:p>
        </w:tc>
        <w:tc>
          <w:tcPr>
            <w:tcW w:w="8795" w:type="dxa"/>
            <w:shd w:val="clear" w:color="auto" w:fill="F8F0FF"/>
            <w:tcMar>
              <w:top w:w="80" w:type="dxa"/>
              <w:left w:w="120" w:type="dxa"/>
              <w:bottom w:w="80" w:type="dxa"/>
              <w:right w:w="120" w:type="dxa"/>
            </w:tcMar>
          </w:tcPr>
          <w:p w14:paraId="7320CE26" w14:textId="77777777" w:rsidR="006624C7" w:rsidRDefault="00B50FEC">
            <w:r>
              <w:rPr>
                <w:rFonts w:ascii="Courier New" w:eastAsia="Courier New" w:hAnsi="Courier New" w:cs="Courier New"/>
                <w:color w:val="7030A0"/>
              </w:rPr>
              <w:t>=IF(Z="","</w:t>
            </w:r>
            <w:proofErr w:type="gramStart"/>
            <w:r>
              <w:rPr>
                <w:rFonts w:ascii="Courier New" w:eastAsia="Courier New" w:hAnsi="Courier New" w:cs="Courier New"/>
                <w:color w:val="7030A0"/>
              </w:rPr>
              <w:t>",IF</w:t>
            </w:r>
            <w:proofErr w:type="gramEnd"/>
            <w:r>
              <w:rPr>
                <w:rFonts w:ascii="Courier New" w:eastAsia="Courier New" w:hAnsi="Courier New" w:cs="Courier New"/>
                <w:color w:val="7030A0"/>
              </w:rPr>
              <w:t>(Z&gt;=</w:t>
            </w:r>
            <w:proofErr w:type="spellStart"/>
            <w:r>
              <w:rPr>
                <w:rFonts w:ascii="Courier New" w:eastAsia="Courier New" w:hAnsi="Courier New" w:cs="Courier New"/>
                <w:color w:val="7030A0"/>
              </w:rPr>
              <w:t>AD,"Rent</w:t>
            </w:r>
            <w:proofErr w:type="spellEnd"/>
            <w:r>
              <w:rPr>
                <w:rFonts w:ascii="Courier New" w:eastAsia="Courier New" w:hAnsi="Courier New" w:cs="Courier New"/>
                <w:color w:val="7030A0"/>
              </w:rPr>
              <w:t xml:space="preserve"> Now - Income </w:t>
            </w:r>
            <w:proofErr w:type="spellStart"/>
            <w:r>
              <w:rPr>
                <w:rFonts w:ascii="Courier New" w:eastAsia="Courier New" w:hAnsi="Courier New" w:cs="Courier New"/>
                <w:color w:val="7030A0"/>
              </w:rPr>
              <w:t>Opportunity</w:t>
            </w:r>
            <w:proofErr w:type="gramStart"/>
            <w:r>
              <w:rPr>
                <w:rFonts w:ascii="Courier New" w:eastAsia="Courier New" w:hAnsi="Courier New" w:cs="Courier New"/>
                <w:color w:val="7030A0"/>
              </w:rPr>
              <w:t>",IF</w:t>
            </w:r>
            <w:proofErr w:type="spellEnd"/>
            <w:proofErr w:type="gramEnd"/>
            <w:r>
              <w:rPr>
                <w:rFonts w:ascii="Courier New" w:eastAsia="Courier New" w:hAnsi="Courier New" w:cs="Courier New"/>
                <w:color w:val="7030A0"/>
              </w:rPr>
              <w:t>(AND(X="N</w:t>
            </w:r>
            <w:proofErr w:type="gramStart"/>
            <w:r>
              <w:rPr>
                <w:rFonts w:ascii="Courier New" w:eastAsia="Courier New" w:hAnsi="Courier New" w:cs="Courier New"/>
                <w:color w:val="7030A0"/>
              </w:rPr>
              <w:t>",(</w:t>
            </w:r>
            <w:proofErr w:type="gramEnd"/>
            <w:r>
              <w:rPr>
                <w:rFonts w:ascii="Courier New" w:eastAsia="Courier New" w:hAnsi="Courier New" w:cs="Courier New"/>
                <w:color w:val="7030A0"/>
              </w:rPr>
              <w:t xml:space="preserve">AD-Z)&gt;=$AJ$5*AD),"Consider Light Reno - Rent Well Below </w:t>
            </w:r>
            <w:proofErr w:type="spellStart"/>
            <w:r>
              <w:rPr>
                <w:rFonts w:ascii="Courier New" w:eastAsia="Courier New" w:hAnsi="Courier New" w:cs="Courier New"/>
                <w:color w:val="7030A0"/>
              </w:rPr>
              <w:t>Market","List</w:t>
            </w:r>
            <w:proofErr w:type="spellEnd"/>
            <w:r>
              <w:rPr>
                <w:rFonts w:ascii="Courier New" w:eastAsia="Courier New" w:hAnsi="Courier New" w:cs="Courier New"/>
                <w:color w:val="7030A0"/>
              </w:rPr>
              <w:t xml:space="preserve"> at Stabilized Rent")))</w:t>
            </w:r>
          </w:p>
        </w:tc>
      </w:tr>
      <w:tr w:rsidR="006624C7" w14:paraId="7320CE2A" w14:textId="77777777" w:rsidTr="00FA6877">
        <w:tblPrEx>
          <w:tblCellMar>
            <w:top w:w="0" w:type="dxa"/>
            <w:bottom w:w="0" w:type="dxa"/>
          </w:tblCellMar>
        </w:tblPrEx>
        <w:tc>
          <w:tcPr>
            <w:tcW w:w="2000" w:type="dxa"/>
            <w:shd w:val="clear" w:color="auto" w:fill="D6E4F0"/>
            <w:tcMar>
              <w:top w:w="80" w:type="dxa"/>
              <w:left w:w="120" w:type="dxa"/>
              <w:bottom w:w="80" w:type="dxa"/>
              <w:right w:w="120" w:type="dxa"/>
            </w:tcMar>
          </w:tcPr>
          <w:p w14:paraId="7320CE28" w14:textId="77777777" w:rsidR="006624C7" w:rsidRDefault="00B50FEC">
            <w:r>
              <w:rPr>
                <w:b/>
                <w:bCs/>
                <w:color w:val="2E75B6"/>
                <w:sz w:val="19"/>
                <w:szCs w:val="19"/>
              </w:rPr>
              <w:t>Logic</w:t>
            </w:r>
          </w:p>
        </w:tc>
        <w:tc>
          <w:tcPr>
            <w:tcW w:w="8795" w:type="dxa"/>
            <w:tcMar>
              <w:top w:w="80" w:type="dxa"/>
              <w:left w:w="120" w:type="dxa"/>
              <w:bottom w:w="80" w:type="dxa"/>
              <w:right w:w="120" w:type="dxa"/>
            </w:tcMar>
          </w:tcPr>
          <w:p w14:paraId="7320CE29" w14:textId="77777777" w:rsidR="006624C7" w:rsidRDefault="00B50FEC">
            <w:r>
              <w:rPr>
                <w:sz w:val="19"/>
                <w:szCs w:val="19"/>
              </w:rPr>
              <w:t>Three-way decision tree: (1) If stabilized rent ≥ market rent → "Rent Now – Income Opportunity"; (2) If unit is NOT renovated AND the rent gap ≥ the Reno Gap Threshold (cell AJ5, default 10% of market rent) → "Consider Light Reno – Rent Well Below Market"; (3) Otherwise → "List at Stabilized Rent". The 10% threshold is configurable in AJ5.</w:t>
            </w:r>
          </w:p>
        </w:tc>
      </w:tr>
    </w:tbl>
    <w:p w14:paraId="7320CE2B" w14:textId="77777777" w:rsidR="006624C7" w:rsidRDefault="006624C7">
      <w:pPr>
        <w:spacing w:after="80"/>
      </w:pPr>
    </w:p>
    <w:p w14:paraId="7320CE2C" w14:textId="77777777" w:rsidR="006624C7" w:rsidRDefault="00B50FEC">
      <w:pPr>
        <w:spacing w:before="60" w:after="60"/>
      </w:pPr>
      <w:r>
        <w:rPr>
          <w:color w:val="1A1A1A"/>
          <w:sz w:val="22"/>
          <w:szCs w:val="22"/>
        </w:rPr>
        <w:t>Column AH (Suggested Next Step) and column AI (Priority) are array formulas that cross-reference the Reason Category (col P), keyword next-step table, and move-out step addendum (col T) to produce a consolidated action narrative and urgency ranking for each unit.</w:t>
      </w:r>
    </w:p>
    <w:p w14:paraId="7320CE2D" w14:textId="25D82D65" w:rsidR="006624C7" w:rsidRDefault="006624C7"/>
    <w:p w14:paraId="7320CE2E" w14:textId="77777777" w:rsidR="006624C7" w:rsidRDefault="00B50FEC">
      <w:pPr>
        <w:pStyle w:val="Heading1"/>
      </w:pPr>
      <w:r>
        <w:t>4. Lookup Sheet — Master Reference</w:t>
      </w:r>
    </w:p>
    <w:p w14:paraId="7320CE2F" w14:textId="77777777" w:rsidR="006624C7" w:rsidRDefault="006624C7">
      <w:pPr>
        <w:spacing w:after="60"/>
      </w:pPr>
    </w:p>
    <w:p w14:paraId="7320CE31" w14:textId="6C6BE56B" w:rsidR="006624C7" w:rsidRDefault="00B50FEC" w:rsidP="00FA6877">
      <w:pPr>
        <w:spacing w:before="60" w:after="60"/>
      </w:pPr>
      <w:r>
        <w:rPr>
          <w:color w:val="1A1A1A"/>
          <w:sz w:val="22"/>
          <w:szCs w:val="22"/>
        </w:rPr>
        <w:t>The Lookup sheet is the backbone of the tracker. It contains four key reference structures:</w:t>
      </w:r>
    </w:p>
    <w:p w14:paraId="7320CE32" w14:textId="77777777" w:rsidR="006624C7" w:rsidRDefault="00B50FEC">
      <w:pPr>
        <w:pStyle w:val="Heading2"/>
      </w:pPr>
      <w:proofErr w:type="gramStart"/>
      <w:r>
        <w:t>4.1  Property</w:t>
      </w:r>
      <w:proofErr w:type="gramEnd"/>
      <w:r>
        <w:t xml:space="preserve"> Master Table (Columns F–M)</w:t>
      </w:r>
    </w:p>
    <w:p w14:paraId="7320CE34" w14:textId="5BC546E1" w:rsidR="006624C7" w:rsidRDefault="00B50FEC" w:rsidP="00FA6877">
      <w:pPr>
        <w:spacing w:before="60" w:after="60"/>
      </w:pPr>
      <w:r>
        <w:rPr>
          <w:color w:val="1A1A1A"/>
          <w:sz w:val="22"/>
          <w:szCs w:val="22"/>
        </w:rPr>
        <w:t>Maps each property name to its short name, entity name, unit count, fund, and region. Used by virtually every VLOOKUP in the Summary Sheet to resolve identifiers.</w:t>
      </w:r>
    </w:p>
    <w:p w14:paraId="7320CE35" w14:textId="77777777" w:rsidR="006624C7" w:rsidRDefault="00B50FEC">
      <w:pPr>
        <w:pStyle w:val="Heading2"/>
      </w:pPr>
      <w:proofErr w:type="gramStart"/>
      <w:r>
        <w:t>4.2  Unit</w:t>
      </w:r>
      <w:proofErr w:type="gramEnd"/>
      <w:r>
        <w:t xml:space="preserve"> Type Standardization (Columns B–C)</w:t>
      </w:r>
    </w:p>
    <w:p w14:paraId="7320CE37" w14:textId="028E8690" w:rsidR="006624C7" w:rsidRDefault="00B50FEC" w:rsidP="00FA6877">
      <w:pPr>
        <w:spacing w:before="60" w:after="60"/>
      </w:pPr>
      <w:r>
        <w:rPr>
          <w:color w:val="1A1A1A"/>
          <w:sz w:val="22"/>
          <w:szCs w:val="22"/>
        </w:rPr>
        <w:t>Maps verbose unit type descriptions from the rent roll (e.g., "1 Bed 1 Bath + Den") to standardized groupings (e.g., "0–1 Bed", "2 Bed") used for rent averaging in column L of the Summary Sheet.</w:t>
      </w:r>
    </w:p>
    <w:p w14:paraId="7320CE38" w14:textId="77777777" w:rsidR="006624C7" w:rsidRDefault="00B50FEC">
      <w:pPr>
        <w:pStyle w:val="Heading2"/>
      </w:pPr>
      <w:proofErr w:type="gramStart"/>
      <w:r>
        <w:t>4.3  Stabilized</w:t>
      </w:r>
      <w:proofErr w:type="gramEnd"/>
      <w:r>
        <w:t xml:space="preserve"> Unit List (Columns N–Q)</w:t>
      </w:r>
    </w:p>
    <w:p w14:paraId="7320CE3A" w14:textId="45BCA0DC" w:rsidR="006624C7" w:rsidRDefault="00B50FEC" w:rsidP="00FA6877">
      <w:pPr>
        <w:spacing w:before="60" w:after="80"/>
      </w:pPr>
      <w:r>
        <w:rPr>
          <w:b/>
          <w:bCs/>
          <w:color w:val="1A1A1A"/>
          <w:sz w:val="22"/>
          <w:szCs w:val="22"/>
        </w:rPr>
        <w:t>Column P</w:t>
      </w:r>
      <w:r>
        <w:rPr>
          <w:sz w:val="22"/>
          <w:szCs w:val="22"/>
        </w:rPr>
        <w:t xml:space="preserve"> (labelled "EDIT HERE FOR ANY CHANGE IN STABILIZED UNIT LIST") contains the master list of unit numbers that belong to stabilized properties. </w:t>
      </w:r>
      <w:r>
        <w:rPr>
          <w:b/>
          <w:bCs/>
          <w:color w:val="1A1A1A"/>
          <w:sz w:val="22"/>
          <w:szCs w:val="22"/>
        </w:rPr>
        <w:t>Column Q</w:t>
      </w:r>
      <w:r>
        <w:rPr>
          <w:sz w:val="22"/>
          <w:szCs w:val="22"/>
        </w:rPr>
        <w:t xml:space="preserve"> computes the composite key </w:t>
      </w:r>
      <w:proofErr w:type="gramStart"/>
      <w:r>
        <w:rPr>
          <w:rFonts w:ascii="Courier New" w:eastAsia="Courier New" w:hAnsi="Courier New" w:cs="Courier New"/>
          <w:color w:val="7030A0"/>
        </w:rPr>
        <w:t>CONCAT(</w:t>
      </w:r>
      <w:proofErr w:type="gramEnd"/>
      <w:r>
        <w:rPr>
          <w:rFonts w:ascii="Courier New" w:eastAsia="Courier New" w:hAnsi="Courier New" w:cs="Courier New"/>
          <w:color w:val="7030A0"/>
        </w:rPr>
        <w:t xml:space="preserve">P, </w:t>
      </w:r>
      <w:proofErr w:type="spellStart"/>
      <w:r>
        <w:rPr>
          <w:rFonts w:ascii="Courier New" w:eastAsia="Courier New" w:hAnsi="Courier New" w:cs="Courier New"/>
          <w:color w:val="7030A0"/>
        </w:rPr>
        <w:t>PropertyName</w:t>
      </w:r>
      <w:proofErr w:type="spellEnd"/>
      <w:r>
        <w:rPr>
          <w:rFonts w:ascii="Courier New" w:eastAsia="Courier New" w:hAnsi="Courier New" w:cs="Courier New"/>
          <w:color w:val="7030A0"/>
        </w:rPr>
        <w:t>)</w:t>
      </w:r>
      <w:r>
        <w:rPr>
          <w:sz w:val="22"/>
          <w:szCs w:val="22"/>
        </w:rPr>
        <w:t xml:space="preserve">. The Unit Type Vacancy sheet's column M uses </w:t>
      </w:r>
      <w:proofErr w:type="gramStart"/>
      <w:r>
        <w:rPr>
          <w:rFonts w:ascii="Courier New" w:eastAsia="Courier New" w:hAnsi="Courier New" w:cs="Courier New"/>
          <w:color w:val="7030A0"/>
        </w:rPr>
        <w:t>IFERROR(VLOOKUP(</w:t>
      </w:r>
      <w:proofErr w:type="spellStart"/>
      <w:proofErr w:type="gramEnd"/>
      <w:r>
        <w:rPr>
          <w:rFonts w:ascii="Courier New" w:eastAsia="Courier New" w:hAnsi="Courier New" w:cs="Courier New"/>
          <w:color w:val="7030A0"/>
        </w:rPr>
        <w:t>concat</w:t>
      </w:r>
      <w:proofErr w:type="spellEnd"/>
      <w:r>
        <w:rPr>
          <w:rFonts w:ascii="Courier New" w:eastAsia="Courier New" w:hAnsi="Courier New" w:cs="Courier New"/>
          <w:color w:val="7030A0"/>
        </w:rPr>
        <w:t xml:space="preserve">, </w:t>
      </w:r>
      <w:proofErr w:type="spellStart"/>
      <w:proofErr w:type="gramStart"/>
      <w:r>
        <w:rPr>
          <w:rFonts w:ascii="Courier New" w:eastAsia="Courier New" w:hAnsi="Courier New" w:cs="Courier New"/>
          <w:color w:val="7030A0"/>
        </w:rPr>
        <w:t>Lookup!Q</w:t>
      </w:r>
      <w:proofErr w:type="gramEnd"/>
      <w:r>
        <w:rPr>
          <w:rFonts w:ascii="Courier New" w:eastAsia="Courier New" w:hAnsi="Courier New" w:cs="Courier New"/>
          <w:color w:val="7030A0"/>
        </w:rPr>
        <w:t>:Q</w:t>
      </w:r>
      <w:proofErr w:type="spellEnd"/>
      <w:r>
        <w:rPr>
          <w:rFonts w:ascii="Courier New" w:eastAsia="Courier New" w:hAnsi="Courier New" w:cs="Courier New"/>
          <w:color w:val="7030A0"/>
        </w:rPr>
        <w:t>, 1, FALSE), "")</w:t>
      </w:r>
      <w:r>
        <w:rPr>
          <w:sz w:val="22"/>
          <w:szCs w:val="22"/>
        </w:rPr>
        <w:t xml:space="preserve"> to flag each unit as stabilized or not — this is the filter that determines which units appear in the tracker.</w:t>
      </w:r>
    </w:p>
    <w:p w14:paraId="7320CE3B" w14:textId="77777777" w:rsidR="006624C7" w:rsidRDefault="00B50FEC">
      <w:pPr>
        <w:pStyle w:val="Heading2"/>
      </w:pPr>
      <w:proofErr w:type="gramStart"/>
      <w:r>
        <w:t>4.4  Sold</w:t>
      </w:r>
      <w:proofErr w:type="gramEnd"/>
      <w:r>
        <w:t xml:space="preserve"> Properties Reference (Column AC)</w:t>
      </w:r>
    </w:p>
    <w:p w14:paraId="7320CE3D" w14:textId="28B74679" w:rsidR="006624C7" w:rsidRDefault="00B50FEC" w:rsidP="00FA6877">
      <w:pPr>
        <w:spacing w:before="60" w:after="60"/>
        <w:rPr>
          <w:color w:val="1A1A1A"/>
          <w:sz w:val="22"/>
          <w:szCs w:val="22"/>
        </w:rPr>
      </w:pPr>
      <w:r>
        <w:rPr>
          <w:color w:val="1A1A1A"/>
          <w:sz w:val="22"/>
          <w:szCs w:val="22"/>
        </w:rPr>
        <w:t>Lists entity names of properties that have been sold and should be excluded from the tracker. Logic in the Unit Type Vacancy sheet suppresses these units.</w:t>
      </w:r>
    </w:p>
    <w:p w14:paraId="08E3ABFC" w14:textId="77777777" w:rsidR="00FA6877" w:rsidRDefault="00FA6877" w:rsidP="00FA6877">
      <w:pPr>
        <w:spacing w:before="60" w:after="60"/>
        <w:rPr>
          <w:color w:val="1A1A1A"/>
          <w:sz w:val="22"/>
          <w:szCs w:val="22"/>
        </w:rPr>
      </w:pPr>
    </w:p>
    <w:p w14:paraId="217FD9A9" w14:textId="77777777" w:rsidR="00FA6877" w:rsidRDefault="00FA6877" w:rsidP="00FA6877">
      <w:pPr>
        <w:spacing w:before="60" w:after="60"/>
        <w:rPr>
          <w:color w:val="1A1A1A"/>
          <w:sz w:val="22"/>
          <w:szCs w:val="22"/>
        </w:rPr>
      </w:pPr>
    </w:p>
    <w:p w14:paraId="707CD37C" w14:textId="77777777" w:rsidR="00FA6877" w:rsidRDefault="00FA6877" w:rsidP="00FA6877">
      <w:pPr>
        <w:spacing w:before="60" w:after="60"/>
      </w:pPr>
    </w:p>
    <w:p w14:paraId="7320CE3E" w14:textId="77777777" w:rsidR="006624C7" w:rsidRDefault="00B50FEC">
      <w:pPr>
        <w:pStyle w:val="Heading1"/>
      </w:pPr>
      <w:r>
        <w:lastRenderedPageBreak/>
        <w:t>5. Visual Summary &amp; Dashboard</w:t>
      </w:r>
    </w:p>
    <w:p w14:paraId="7320CE3F" w14:textId="77777777" w:rsidR="006624C7" w:rsidRDefault="006624C7">
      <w:pPr>
        <w:spacing w:after="60"/>
      </w:pPr>
    </w:p>
    <w:p w14:paraId="7320CE41" w14:textId="15FA353D" w:rsidR="006624C7" w:rsidRDefault="00B50FEC" w:rsidP="00FA6877">
      <w:pPr>
        <w:spacing w:before="60" w:after="60"/>
      </w:pPr>
      <w:r>
        <w:rPr>
          <w:color w:val="1A1A1A"/>
          <w:sz w:val="22"/>
          <w:szCs w:val="22"/>
        </w:rPr>
        <w:t>The second page of the tracker output contains a Visual Summary with three pre-built charts and a property comparison table, all driven by formulas in the Summary Sheet.</w:t>
      </w:r>
    </w:p>
    <w:p w14:paraId="7320CE42" w14:textId="77777777" w:rsidR="006624C7" w:rsidRDefault="00B50FEC">
      <w:pPr>
        <w:spacing w:before="100" w:after="40"/>
        <w:jc w:val="center"/>
      </w:pPr>
      <w:r>
        <w:rPr>
          <w:noProof/>
        </w:rPr>
        <w:drawing>
          <wp:inline distT="0" distB="0" distL="0" distR="0" wp14:anchorId="7320CEBB" wp14:editId="1B6CF3FD">
            <wp:extent cx="5422900" cy="7661944"/>
            <wp:effectExtent l="0" t="0" r="6350" b="0"/>
            <wp:docPr id="1896880603" name="Picture 189688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4800" b="9446"/>
                    <a:stretch>
                      <a:fillRect/>
                    </a:stretch>
                  </pic:blipFill>
                  <pic:spPr bwMode="auto">
                    <a:xfrm>
                      <a:off x="0" y="0"/>
                      <a:ext cx="5432803" cy="7675936"/>
                    </a:xfrm>
                    <a:prstGeom prst="rect">
                      <a:avLst/>
                    </a:prstGeom>
                    <a:ln>
                      <a:noFill/>
                    </a:ln>
                    <a:extLst>
                      <a:ext uri="{53640926-AAD7-44D8-BBD7-CCE9431645EC}">
                        <a14:shadowObscured xmlns:a14="http://schemas.microsoft.com/office/drawing/2010/main"/>
                      </a:ext>
                    </a:extLst>
                  </pic:spPr>
                </pic:pic>
              </a:graphicData>
            </a:graphic>
          </wp:inline>
        </w:drawing>
      </w:r>
    </w:p>
    <w:p w14:paraId="7320CE43" w14:textId="77777777" w:rsidR="006624C7" w:rsidRDefault="00B50FEC">
      <w:pPr>
        <w:spacing w:after="160"/>
        <w:jc w:val="center"/>
      </w:pPr>
      <w:r>
        <w:rPr>
          <w:i/>
          <w:iCs/>
          <w:color w:val="595959"/>
          <w:sz w:val="22"/>
          <w:szCs w:val="22"/>
        </w:rPr>
        <w:t>Figure 2 — Visual Summary: Vacancy aging distribution, reason breakdown, and property comparison</w:t>
      </w:r>
    </w:p>
    <w:p w14:paraId="7320CE44" w14:textId="77777777" w:rsidR="006624C7" w:rsidRDefault="006624C7">
      <w:pPr>
        <w:spacing w:after="120"/>
      </w:pPr>
    </w:p>
    <w:p w14:paraId="7320CE45" w14:textId="77777777" w:rsidR="006624C7" w:rsidRDefault="00B50FEC">
      <w:pPr>
        <w:pStyle w:val="Heading2"/>
      </w:pPr>
      <w:proofErr w:type="gramStart"/>
      <w:r>
        <w:lastRenderedPageBreak/>
        <w:t>5.1  Chart</w:t>
      </w:r>
      <w:proofErr w:type="gramEnd"/>
      <w:r>
        <w:t xml:space="preserve"> 1 — Vacancy Aging Distribution</w:t>
      </w:r>
    </w:p>
    <w:p w14:paraId="7320CE46" w14:textId="77777777" w:rsidR="006624C7" w:rsidRDefault="00B50FEC">
      <w:pPr>
        <w:spacing w:before="60" w:after="60"/>
      </w:pPr>
      <w:r>
        <w:rPr>
          <w:color w:val="1A1A1A"/>
          <w:sz w:val="22"/>
          <w:szCs w:val="22"/>
        </w:rPr>
        <w:t>A bar chart that groups all vacant units by their Vacancy Aging tier (column N): 0–30, 31–60, 61–90, 91–180, 181–365, and 365+ days. Driven by COUNTIFS against column N. This chart immediately surfaces the severity of long-duration vacancies.</w:t>
      </w:r>
    </w:p>
    <w:p w14:paraId="7320CE47" w14:textId="77777777" w:rsidR="006624C7" w:rsidRDefault="006624C7">
      <w:pPr>
        <w:spacing w:after="100"/>
      </w:pPr>
    </w:p>
    <w:p w14:paraId="7320CE48" w14:textId="77777777" w:rsidR="006624C7" w:rsidRDefault="00B50FEC">
      <w:pPr>
        <w:pStyle w:val="Heading2"/>
      </w:pPr>
      <w:proofErr w:type="gramStart"/>
      <w:r>
        <w:t>5.2  Chart</w:t>
      </w:r>
      <w:proofErr w:type="gramEnd"/>
      <w:r>
        <w:t xml:space="preserve"> 2 — Reason Category Breakdown</w:t>
      </w:r>
    </w:p>
    <w:p w14:paraId="7320CE49" w14:textId="77777777" w:rsidR="006624C7" w:rsidRDefault="00B50FEC">
      <w:pPr>
        <w:spacing w:before="60" w:after="60"/>
      </w:pPr>
      <w:r>
        <w:rPr>
          <w:color w:val="1A1A1A"/>
          <w:sz w:val="22"/>
          <w:szCs w:val="22"/>
        </w:rPr>
        <w:t>A pie chart that counts units by Reason Category (column P). Categories include Renovation, Major Repair, Management Hold/Do Not Re-rent, Pricing Issue, Utility/Building Issue, No Actionable Reason, and Other. Helps identify the dominant vacancy driver across the portfolio.</w:t>
      </w:r>
    </w:p>
    <w:p w14:paraId="7320CE4A" w14:textId="77777777" w:rsidR="006624C7" w:rsidRDefault="006624C7">
      <w:pPr>
        <w:spacing w:after="100"/>
      </w:pPr>
    </w:p>
    <w:p w14:paraId="7320CE4B" w14:textId="77777777" w:rsidR="006624C7" w:rsidRDefault="00B50FEC">
      <w:pPr>
        <w:pStyle w:val="Heading2"/>
      </w:pPr>
      <w:proofErr w:type="gramStart"/>
      <w:r>
        <w:t>5.3  Chart</w:t>
      </w:r>
      <w:proofErr w:type="gramEnd"/>
      <w:r>
        <w:t xml:space="preserve"> 3 — Property Comparison (</w:t>
      </w:r>
      <w:proofErr w:type="spellStart"/>
      <w:r>
        <w:t>Avg</w:t>
      </w:r>
      <w:proofErr w:type="spellEnd"/>
      <w:r>
        <w:t xml:space="preserve"> Days Vacant &amp; Units &gt;90 Days)</w:t>
      </w:r>
    </w:p>
    <w:p w14:paraId="7320CE4C" w14:textId="77777777" w:rsidR="006624C7" w:rsidRDefault="00B50FEC">
      <w:pPr>
        <w:spacing w:before="60" w:after="60"/>
      </w:pPr>
      <w:r>
        <w:rPr>
          <w:color w:val="1A1A1A"/>
          <w:sz w:val="22"/>
          <w:szCs w:val="22"/>
        </w:rPr>
        <w:t>A combo chart (bar + line) comparing properties on two metrics: average days vacant (orange bars, left axis) and number of units vacant more than 90 days (grey line with markers, right axis). A dotted trend line shows the trajectory across properties. This surfaces which assets carry the most acute vacancy risk and require priority attention.</w:t>
      </w:r>
    </w:p>
    <w:p w14:paraId="7320CE4D" w14:textId="2A1B40E8" w:rsidR="006624C7" w:rsidRDefault="006624C7"/>
    <w:p w14:paraId="7320CE4E" w14:textId="77777777" w:rsidR="006624C7" w:rsidRDefault="00B50FEC">
      <w:pPr>
        <w:pStyle w:val="Heading1"/>
      </w:pPr>
      <w:r>
        <w:t>6. Result Analysis</w:t>
      </w:r>
    </w:p>
    <w:p w14:paraId="7320CE4F" w14:textId="77777777" w:rsidR="006624C7" w:rsidRDefault="006624C7">
      <w:pPr>
        <w:spacing w:after="60"/>
      </w:pPr>
    </w:p>
    <w:p w14:paraId="7320CE50" w14:textId="0CEDBA4B" w:rsidR="006624C7" w:rsidRDefault="00B50FEC">
      <w:pPr>
        <w:spacing w:before="60" w:after="60"/>
      </w:pPr>
      <w:r>
        <w:rPr>
          <w:color w:val="1A1A1A"/>
          <w:sz w:val="22"/>
          <w:szCs w:val="22"/>
        </w:rPr>
        <w:t xml:space="preserve">The following analysis is drawn from the tracker output as of August 19, 2026, covering stabilized vacant units across the </w:t>
      </w:r>
      <w:r w:rsidR="00850A06">
        <w:rPr>
          <w:color w:val="1A1A1A"/>
          <w:sz w:val="22"/>
          <w:szCs w:val="22"/>
        </w:rPr>
        <w:t xml:space="preserve">fund of </w:t>
      </w:r>
      <w:r>
        <w:rPr>
          <w:color w:val="1A1A1A"/>
          <w:sz w:val="22"/>
          <w:szCs w:val="22"/>
        </w:rPr>
        <w:t>portfolio (Entities 5, 9, 10, and 13).</w:t>
      </w:r>
    </w:p>
    <w:p w14:paraId="7320CE51" w14:textId="77777777" w:rsidR="006624C7" w:rsidRDefault="006624C7">
      <w:pPr>
        <w:spacing w:after="100"/>
      </w:pPr>
    </w:p>
    <w:p w14:paraId="7320CE52" w14:textId="77777777" w:rsidR="006624C7" w:rsidRDefault="00B50FEC">
      <w:pPr>
        <w:pStyle w:val="Heading2"/>
      </w:pPr>
      <w:proofErr w:type="gramStart"/>
      <w:r>
        <w:t>6.1  Portfolio</w:t>
      </w:r>
      <w:proofErr w:type="gramEnd"/>
      <w:r>
        <w:t>-Level Vacancy Summary</w:t>
      </w:r>
    </w:p>
    <w:p w14:paraId="7320CE53" w14:textId="77777777" w:rsidR="006624C7" w:rsidRDefault="006624C7">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300"/>
        <w:gridCol w:w="3600"/>
      </w:tblGrid>
      <w:tr w:rsidR="006624C7" w14:paraId="7320CE57" w14:textId="77777777">
        <w:tblPrEx>
          <w:tblCellMar>
            <w:top w:w="0" w:type="dxa"/>
            <w:bottom w:w="0" w:type="dxa"/>
          </w:tblCellMar>
        </w:tblPrEx>
        <w:trPr>
          <w:tblHeader/>
        </w:trPr>
        <w:tc>
          <w:tcPr>
            <w:tcW w:w="3500" w:type="dxa"/>
            <w:shd w:val="clear" w:color="auto" w:fill="1F3864"/>
            <w:tcMar>
              <w:top w:w="80" w:type="dxa"/>
              <w:left w:w="80" w:type="dxa"/>
              <w:bottom w:w="80" w:type="dxa"/>
              <w:right w:w="80" w:type="dxa"/>
            </w:tcMar>
          </w:tcPr>
          <w:p w14:paraId="7320CE54" w14:textId="77777777" w:rsidR="006624C7" w:rsidRDefault="00B50FEC">
            <w:pPr>
              <w:jc w:val="center"/>
            </w:pPr>
            <w:r>
              <w:rPr>
                <w:b/>
                <w:bCs/>
                <w:color w:val="FFFFFF"/>
                <w:sz w:val="19"/>
                <w:szCs w:val="19"/>
              </w:rPr>
              <w:t>Metric</w:t>
            </w:r>
          </w:p>
        </w:tc>
        <w:tc>
          <w:tcPr>
            <w:tcW w:w="2300" w:type="dxa"/>
            <w:shd w:val="clear" w:color="auto" w:fill="1F3864"/>
            <w:tcMar>
              <w:top w:w="80" w:type="dxa"/>
              <w:left w:w="80" w:type="dxa"/>
              <w:bottom w:w="80" w:type="dxa"/>
              <w:right w:w="80" w:type="dxa"/>
            </w:tcMar>
          </w:tcPr>
          <w:p w14:paraId="7320CE55" w14:textId="77777777" w:rsidR="006624C7" w:rsidRDefault="00B50FEC">
            <w:pPr>
              <w:jc w:val="center"/>
            </w:pPr>
            <w:r>
              <w:rPr>
                <w:b/>
                <w:bCs/>
                <w:color w:val="FFFFFF"/>
                <w:sz w:val="19"/>
                <w:szCs w:val="19"/>
              </w:rPr>
              <w:t>Value</w:t>
            </w:r>
          </w:p>
        </w:tc>
        <w:tc>
          <w:tcPr>
            <w:tcW w:w="3600" w:type="dxa"/>
            <w:shd w:val="clear" w:color="auto" w:fill="1F3864"/>
            <w:tcMar>
              <w:top w:w="80" w:type="dxa"/>
              <w:left w:w="80" w:type="dxa"/>
              <w:bottom w:w="80" w:type="dxa"/>
              <w:right w:w="80" w:type="dxa"/>
            </w:tcMar>
          </w:tcPr>
          <w:p w14:paraId="7320CE56" w14:textId="77777777" w:rsidR="006624C7" w:rsidRDefault="00B50FEC">
            <w:pPr>
              <w:jc w:val="center"/>
            </w:pPr>
            <w:r>
              <w:rPr>
                <w:b/>
                <w:bCs/>
                <w:color w:val="FFFFFF"/>
                <w:sz w:val="19"/>
                <w:szCs w:val="19"/>
              </w:rPr>
              <w:t>Observation</w:t>
            </w:r>
          </w:p>
        </w:tc>
      </w:tr>
      <w:tr w:rsidR="006624C7" w14:paraId="7320CE5B" w14:textId="77777777">
        <w:tblPrEx>
          <w:tblCellMar>
            <w:top w:w="0" w:type="dxa"/>
            <w:bottom w:w="0" w:type="dxa"/>
          </w:tblCellMar>
        </w:tblPrEx>
        <w:tc>
          <w:tcPr>
            <w:tcW w:w="3500" w:type="dxa"/>
            <w:shd w:val="clear" w:color="auto" w:fill="FFFFFF"/>
            <w:tcMar>
              <w:top w:w="60" w:type="dxa"/>
              <w:left w:w="80" w:type="dxa"/>
              <w:bottom w:w="60" w:type="dxa"/>
              <w:right w:w="80" w:type="dxa"/>
            </w:tcMar>
          </w:tcPr>
          <w:p w14:paraId="7320CE58" w14:textId="77777777" w:rsidR="006624C7" w:rsidRDefault="00B50FEC">
            <w:pPr>
              <w:spacing w:before="30" w:after="30"/>
            </w:pPr>
            <w:r>
              <w:rPr>
                <w:sz w:val="19"/>
                <w:szCs w:val="19"/>
              </w:rPr>
              <w:t>Total stabilized vacant units tracked</w:t>
            </w:r>
          </w:p>
        </w:tc>
        <w:tc>
          <w:tcPr>
            <w:tcW w:w="2300" w:type="dxa"/>
            <w:shd w:val="clear" w:color="auto" w:fill="FFFFFF"/>
            <w:tcMar>
              <w:top w:w="60" w:type="dxa"/>
              <w:left w:w="80" w:type="dxa"/>
              <w:bottom w:w="60" w:type="dxa"/>
              <w:right w:w="80" w:type="dxa"/>
            </w:tcMar>
          </w:tcPr>
          <w:p w14:paraId="7320CE59" w14:textId="77777777" w:rsidR="006624C7" w:rsidRDefault="00B50FEC">
            <w:pPr>
              <w:spacing w:before="30" w:after="30"/>
            </w:pPr>
            <w:r>
              <w:rPr>
                <w:sz w:val="19"/>
                <w:szCs w:val="19"/>
              </w:rPr>
              <w:t>~18 units</w:t>
            </w:r>
          </w:p>
        </w:tc>
        <w:tc>
          <w:tcPr>
            <w:tcW w:w="3600" w:type="dxa"/>
            <w:shd w:val="clear" w:color="auto" w:fill="FFFFFF"/>
            <w:tcMar>
              <w:top w:w="60" w:type="dxa"/>
              <w:left w:w="80" w:type="dxa"/>
              <w:bottom w:w="60" w:type="dxa"/>
              <w:right w:w="80" w:type="dxa"/>
            </w:tcMar>
          </w:tcPr>
          <w:p w14:paraId="7320CE5A" w14:textId="196AC054" w:rsidR="006624C7" w:rsidRDefault="00B50FEC">
            <w:pPr>
              <w:spacing w:before="30" w:after="30"/>
            </w:pPr>
            <w:r>
              <w:rPr>
                <w:sz w:val="19"/>
                <w:szCs w:val="19"/>
              </w:rPr>
              <w:t xml:space="preserve">Across 4 </w:t>
            </w:r>
            <w:r w:rsidR="00850A06">
              <w:rPr>
                <w:sz w:val="19"/>
                <w:szCs w:val="19"/>
              </w:rPr>
              <w:t>fund</w:t>
            </w:r>
            <w:r>
              <w:rPr>
                <w:sz w:val="19"/>
                <w:szCs w:val="19"/>
              </w:rPr>
              <w:t xml:space="preserve"> entities</w:t>
            </w:r>
          </w:p>
        </w:tc>
      </w:tr>
      <w:tr w:rsidR="006624C7" w14:paraId="7320CE5F" w14:textId="77777777">
        <w:tblPrEx>
          <w:tblCellMar>
            <w:top w:w="0" w:type="dxa"/>
            <w:bottom w:w="0" w:type="dxa"/>
          </w:tblCellMar>
        </w:tblPrEx>
        <w:tc>
          <w:tcPr>
            <w:tcW w:w="3500" w:type="dxa"/>
            <w:shd w:val="clear" w:color="auto" w:fill="F2F2F2"/>
            <w:tcMar>
              <w:top w:w="60" w:type="dxa"/>
              <w:left w:w="80" w:type="dxa"/>
              <w:bottom w:w="60" w:type="dxa"/>
              <w:right w:w="80" w:type="dxa"/>
            </w:tcMar>
          </w:tcPr>
          <w:p w14:paraId="7320CE5C" w14:textId="77777777" w:rsidR="006624C7" w:rsidRDefault="00B50FEC">
            <w:pPr>
              <w:spacing w:before="30" w:after="30"/>
            </w:pPr>
            <w:r>
              <w:rPr>
                <w:sz w:val="19"/>
                <w:szCs w:val="19"/>
              </w:rPr>
              <w:t>Units vacant 365+ days</w:t>
            </w:r>
          </w:p>
        </w:tc>
        <w:tc>
          <w:tcPr>
            <w:tcW w:w="2300" w:type="dxa"/>
            <w:shd w:val="clear" w:color="auto" w:fill="F2F2F2"/>
            <w:tcMar>
              <w:top w:w="60" w:type="dxa"/>
              <w:left w:w="80" w:type="dxa"/>
              <w:bottom w:w="60" w:type="dxa"/>
              <w:right w:w="80" w:type="dxa"/>
            </w:tcMar>
          </w:tcPr>
          <w:p w14:paraId="7320CE5D" w14:textId="77777777" w:rsidR="006624C7" w:rsidRDefault="00B50FEC">
            <w:pPr>
              <w:spacing w:before="30" w:after="30"/>
            </w:pPr>
            <w:r>
              <w:rPr>
                <w:sz w:val="19"/>
                <w:szCs w:val="19"/>
              </w:rPr>
              <w:t>9 units (majority)</w:t>
            </w:r>
          </w:p>
        </w:tc>
        <w:tc>
          <w:tcPr>
            <w:tcW w:w="3600" w:type="dxa"/>
            <w:shd w:val="clear" w:color="auto" w:fill="F2F2F2"/>
            <w:tcMar>
              <w:top w:w="60" w:type="dxa"/>
              <w:left w:w="80" w:type="dxa"/>
              <w:bottom w:w="60" w:type="dxa"/>
              <w:right w:w="80" w:type="dxa"/>
            </w:tcMar>
          </w:tcPr>
          <w:p w14:paraId="7320CE5E" w14:textId="77777777" w:rsidR="006624C7" w:rsidRDefault="00B50FEC">
            <w:pPr>
              <w:spacing w:before="30" w:after="30"/>
            </w:pPr>
            <w:r>
              <w:rPr>
                <w:sz w:val="19"/>
                <w:szCs w:val="19"/>
              </w:rPr>
              <w:t>Largest aging bucket — chronic vacancy</w:t>
            </w:r>
          </w:p>
        </w:tc>
      </w:tr>
      <w:tr w:rsidR="006624C7" w14:paraId="7320CE63" w14:textId="77777777">
        <w:tblPrEx>
          <w:tblCellMar>
            <w:top w:w="0" w:type="dxa"/>
            <w:bottom w:w="0" w:type="dxa"/>
          </w:tblCellMar>
        </w:tblPrEx>
        <w:tc>
          <w:tcPr>
            <w:tcW w:w="3500" w:type="dxa"/>
            <w:shd w:val="clear" w:color="auto" w:fill="FFFFFF"/>
            <w:tcMar>
              <w:top w:w="60" w:type="dxa"/>
              <w:left w:w="80" w:type="dxa"/>
              <w:bottom w:w="60" w:type="dxa"/>
              <w:right w:w="80" w:type="dxa"/>
            </w:tcMar>
          </w:tcPr>
          <w:p w14:paraId="7320CE60" w14:textId="77777777" w:rsidR="006624C7" w:rsidRDefault="00B50FEC">
            <w:pPr>
              <w:spacing w:before="30" w:after="30"/>
            </w:pPr>
            <w:r>
              <w:rPr>
                <w:sz w:val="19"/>
                <w:szCs w:val="19"/>
              </w:rPr>
              <w:t>Units vacant 91–180 days</w:t>
            </w:r>
          </w:p>
        </w:tc>
        <w:tc>
          <w:tcPr>
            <w:tcW w:w="2300" w:type="dxa"/>
            <w:shd w:val="clear" w:color="auto" w:fill="FFFFFF"/>
            <w:tcMar>
              <w:top w:w="60" w:type="dxa"/>
              <w:left w:w="80" w:type="dxa"/>
              <w:bottom w:w="60" w:type="dxa"/>
              <w:right w:w="80" w:type="dxa"/>
            </w:tcMar>
          </w:tcPr>
          <w:p w14:paraId="7320CE61" w14:textId="77777777" w:rsidR="006624C7" w:rsidRDefault="00B50FEC">
            <w:pPr>
              <w:spacing w:before="30" w:after="30"/>
            </w:pPr>
            <w:r>
              <w:rPr>
                <w:sz w:val="19"/>
                <w:szCs w:val="19"/>
              </w:rPr>
              <w:t>3 units</w:t>
            </w:r>
          </w:p>
        </w:tc>
        <w:tc>
          <w:tcPr>
            <w:tcW w:w="3600" w:type="dxa"/>
            <w:shd w:val="clear" w:color="auto" w:fill="FFFFFF"/>
            <w:tcMar>
              <w:top w:w="60" w:type="dxa"/>
              <w:left w:w="80" w:type="dxa"/>
              <w:bottom w:w="60" w:type="dxa"/>
              <w:right w:w="80" w:type="dxa"/>
            </w:tcMar>
          </w:tcPr>
          <w:p w14:paraId="7320CE62" w14:textId="77777777" w:rsidR="006624C7" w:rsidRDefault="00B50FEC">
            <w:pPr>
              <w:spacing w:before="30" w:after="30"/>
            </w:pPr>
            <w:r>
              <w:rPr>
                <w:sz w:val="19"/>
                <w:szCs w:val="19"/>
              </w:rPr>
              <w:t>Sub-acute; require urgent action</w:t>
            </w:r>
          </w:p>
        </w:tc>
      </w:tr>
      <w:tr w:rsidR="006624C7" w14:paraId="7320CE67" w14:textId="77777777">
        <w:tblPrEx>
          <w:tblCellMar>
            <w:top w:w="0" w:type="dxa"/>
            <w:bottom w:w="0" w:type="dxa"/>
          </w:tblCellMar>
        </w:tblPrEx>
        <w:tc>
          <w:tcPr>
            <w:tcW w:w="3500" w:type="dxa"/>
            <w:shd w:val="clear" w:color="auto" w:fill="F2F2F2"/>
            <w:tcMar>
              <w:top w:w="60" w:type="dxa"/>
              <w:left w:w="80" w:type="dxa"/>
              <w:bottom w:w="60" w:type="dxa"/>
              <w:right w:w="80" w:type="dxa"/>
            </w:tcMar>
          </w:tcPr>
          <w:p w14:paraId="7320CE64" w14:textId="77777777" w:rsidR="006624C7" w:rsidRDefault="00B50FEC">
            <w:pPr>
              <w:spacing w:before="30" w:after="30"/>
            </w:pPr>
            <w:r>
              <w:rPr>
                <w:sz w:val="19"/>
                <w:szCs w:val="19"/>
              </w:rPr>
              <w:t>Units vacant 0–90 days</w:t>
            </w:r>
          </w:p>
        </w:tc>
        <w:tc>
          <w:tcPr>
            <w:tcW w:w="2300" w:type="dxa"/>
            <w:shd w:val="clear" w:color="auto" w:fill="F2F2F2"/>
            <w:tcMar>
              <w:top w:w="60" w:type="dxa"/>
              <w:left w:w="80" w:type="dxa"/>
              <w:bottom w:w="60" w:type="dxa"/>
              <w:right w:w="80" w:type="dxa"/>
            </w:tcMar>
          </w:tcPr>
          <w:p w14:paraId="7320CE65" w14:textId="77777777" w:rsidR="006624C7" w:rsidRDefault="00B50FEC">
            <w:pPr>
              <w:spacing w:before="30" w:after="30"/>
            </w:pPr>
            <w:r>
              <w:rPr>
                <w:sz w:val="19"/>
                <w:szCs w:val="19"/>
              </w:rPr>
              <w:t>~6 units</w:t>
            </w:r>
          </w:p>
        </w:tc>
        <w:tc>
          <w:tcPr>
            <w:tcW w:w="3600" w:type="dxa"/>
            <w:shd w:val="clear" w:color="auto" w:fill="F2F2F2"/>
            <w:tcMar>
              <w:top w:w="60" w:type="dxa"/>
              <w:left w:w="80" w:type="dxa"/>
              <w:bottom w:w="60" w:type="dxa"/>
              <w:right w:w="80" w:type="dxa"/>
            </w:tcMar>
          </w:tcPr>
          <w:p w14:paraId="7320CE66" w14:textId="77777777" w:rsidR="006624C7" w:rsidRDefault="00B50FEC">
            <w:pPr>
              <w:spacing w:before="30" w:after="30"/>
            </w:pPr>
            <w:r>
              <w:rPr>
                <w:sz w:val="19"/>
                <w:szCs w:val="19"/>
              </w:rPr>
              <w:t>Recent turnover; normal lease-up pipeline</w:t>
            </w:r>
          </w:p>
        </w:tc>
      </w:tr>
    </w:tbl>
    <w:p w14:paraId="7320CE68" w14:textId="77777777" w:rsidR="006624C7" w:rsidRDefault="006624C7">
      <w:pPr>
        <w:spacing w:after="120"/>
      </w:pPr>
    </w:p>
    <w:p w14:paraId="7320CE69" w14:textId="77777777" w:rsidR="006624C7" w:rsidRDefault="00B50FEC">
      <w:pPr>
        <w:spacing w:before="60" w:after="60"/>
      </w:pPr>
      <w:r>
        <w:rPr>
          <w:color w:val="1A1A1A"/>
          <w:sz w:val="22"/>
          <w:szCs w:val="22"/>
        </w:rPr>
        <w:t>The vacancy aging distribution is heavily right-skewed, with the majority of units concentrated in the 365+ days bucket. This indicates that the portfolio's vacancy problem is primarily structural (renovation, regulatory, or pricing) rather than transactional.</w:t>
      </w:r>
    </w:p>
    <w:p w14:paraId="7320CE6A" w14:textId="77777777" w:rsidR="006624C7" w:rsidRDefault="006624C7">
      <w:pPr>
        <w:spacing w:after="120"/>
      </w:pPr>
    </w:p>
    <w:p w14:paraId="7320CE6B" w14:textId="77777777" w:rsidR="006624C7" w:rsidRDefault="00B50FEC">
      <w:pPr>
        <w:pStyle w:val="Heading2"/>
      </w:pPr>
      <w:proofErr w:type="gramStart"/>
      <w:r>
        <w:t>6.2  Reason</w:t>
      </w:r>
      <w:proofErr w:type="gramEnd"/>
      <w:r>
        <w:t xml:space="preserve"> Category Breakdown</w:t>
      </w:r>
    </w:p>
    <w:p w14:paraId="7320CE6C" w14:textId="77777777" w:rsidR="006624C7" w:rsidRDefault="006624C7">
      <w:pPr>
        <w:spacing w:after="60"/>
      </w:pPr>
    </w:p>
    <w:p w14:paraId="7320CE6D" w14:textId="77777777" w:rsidR="006624C7" w:rsidRDefault="00B50FEC">
      <w:pPr>
        <w:spacing w:before="60" w:after="60"/>
      </w:pPr>
      <w:r>
        <w:rPr>
          <w:color w:val="1A1A1A"/>
          <w:sz w:val="22"/>
          <w:szCs w:val="22"/>
        </w:rPr>
        <w:t>The Reason Category pie chart reveals the following vacancy drivers (approximate breakdown based on tracker output):</w:t>
      </w:r>
    </w:p>
    <w:p w14:paraId="7320CE6E" w14:textId="77777777" w:rsidR="006624C7" w:rsidRDefault="00B50FEC">
      <w:pPr>
        <w:pStyle w:val="ListParagraph"/>
        <w:numPr>
          <w:ilvl w:val="0"/>
          <w:numId w:val="1"/>
        </w:numPr>
        <w:spacing w:before="40" w:after="40"/>
      </w:pPr>
      <w:r>
        <w:rPr>
          <w:color w:val="1A1A1A"/>
          <w:sz w:val="22"/>
          <w:szCs w:val="22"/>
        </w:rPr>
        <w:t>Renovation — the largest category, reflecting units undergoing or awaiting renovation scope approval. These units are intentionally off-market pending capex work.</w:t>
      </w:r>
    </w:p>
    <w:p w14:paraId="7320CE6F" w14:textId="77777777" w:rsidR="006624C7" w:rsidRDefault="00B50FEC">
      <w:pPr>
        <w:pStyle w:val="ListParagraph"/>
        <w:numPr>
          <w:ilvl w:val="0"/>
          <w:numId w:val="1"/>
        </w:numPr>
        <w:spacing w:before="40" w:after="40"/>
      </w:pPr>
      <w:r>
        <w:rPr>
          <w:color w:val="1A1A1A"/>
          <w:sz w:val="22"/>
          <w:szCs w:val="22"/>
        </w:rPr>
        <w:t xml:space="preserve">No Actionable Reason — a significant share of units </w:t>
      </w:r>
      <w:proofErr w:type="gramStart"/>
      <w:r>
        <w:rPr>
          <w:color w:val="1A1A1A"/>
          <w:sz w:val="22"/>
          <w:szCs w:val="22"/>
        </w:rPr>
        <w:t>carry</w:t>
      </w:r>
      <w:proofErr w:type="gramEnd"/>
      <w:r>
        <w:rPr>
          <w:color w:val="1A1A1A"/>
          <w:sz w:val="22"/>
          <w:szCs w:val="22"/>
        </w:rPr>
        <w:t xml:space="preserve"> no comment or an ambiguous comment, suggesting a gap in property manager reporting that needs to be addressed.</w:t>
      </w:r>
    </w:p>
    <w:p w14:paraId="7320CE70" w14:textId="77777777" w:rsidR="006624C7" w:rsidRDefault="00B50FEC">
      <w:pPr>
        <w:pStyle w:val="ListParagraph"/>
        <w:numPr>
          <w:ilvl w:val="0"/>
          <w:numId w:val="1"/>
        </w:numPr>
        <w:spacing w:before="40" w:after="40"/>
      </w:pPr>
      <w:r>
        <w:rPr>
          <w:color w:val="1A1A1A"/>
          <w:sz w:val="22"/>
          <w:szCs w:val="22"/>
        </w:rPr>
        <w:t>Management Hold / Do Not Re-rent — a portion of units are on deliberate hold by ownership or property management.</w:t>
      </w:r>
    </w:p>
    <w:p w14:paraId="7320CE71" w14:textId="77777777" w:rsidR="006624C7" w:rsidRDefault="00B50FEC">
      <w:pPr>
        <w:pStyle w:val="ListParagraph"/>
        <w:numPr>
          <w:ilvl w:val="0"/>
          <w:numId w:val="1"/>
        </w:numPr>
        <w:spacing w:before="40" w:after="40"/>
      </w:pPr>
      <w:r>
        <w:rPr>
          <w:color w:val="1A1A1A"/>
          <w:sz w:val="22"/>
          <w:szCs w:val="22"/>
        </w:rPr>
        <w:t>Major Repair — units with physical plant issues (HVAC, plumbing, electrical) preventing re-listing.</w:t>
      </w:r>
    </w:p>
    <w:p w14:paraId="7320CE72" w14:textId="77777777" w:rsidR="006624C7" w:rsidRDefault="00B50FEC">
      <w:pPr>
        <w:pStyle w:val="ListParagraph"/>
        <w:numPr>
          <w:ilvl w:val="0"/>
          <w:numId w:val="1"/>
        </w:numPr>
        <w:spacing w:before="40" w:after="40"/>
      </w:pPr>
      <w:r>
        <w:rPr>
          <w:color w:val="1A1A1A"/>
          <w:sz w:val="22"/>
          <w:szCs w:val="22"/>
        </w:rPr>
        <w:lastRenderedPageBreak/>
        <w:t>Pricing Issue — a smaller but notable category where the comment suggests the asking rent is misaligned with demand.</w:t>
      </w:r>
    </w:p>
    <w:p w14:paraId="7320CE73" w14:textId="77777777" w:rsidR="006624C7" w:rsidRDefault="00B50FEC">
      <w:pPr>
        <w:pStyle w:val="ListParagraph"/>
        <w:numPr>
          <w:ilvl w:val="0"/>
          <w:numId w:val="1"/>
        </w:numPr>
        <w:spacing w:before="40" w:after="40"/>
      </w:pPr>
      <w:r>
        <w:rPr>
          <w:color w:val="1A1A1A"/>
          <w:sz w:val="22"/>
          <w:szCs w:val="22"/>
        </w:rPr>
        <w:t>Utility/Building Issue — isolated cases with building-system or utility access barriers.</w:t>
      </w:r>
    </w:p>
    <w:p w14:paraId="7320CE74" w14:textId="77777777" w:rsidR="006624C7" w:rsidRDefault="006624C7">
      <w:pPr>
        <w:spacing w:after="80"/>
      </w:pPr>
    </w:p>
    <w:p w14:paraId="7320CE75" w14:textId="77777777" w:rsidR="006624C7" w:rsidRDefault="00B50FEC">
      <w:pPr>
        <w:spacing w:before="60" w:after="60"/>
      </w:pPr>
      <w:r>
        <w:rPr>
          <w:color w:val="1A1A1A"/>
          <w:sz w:val="22"/>
          <w:szCs w:val="22"/>
        </w:rPr>
        <w:t>Renovation and No Actionable Reason combined represent the majority of vacancy, which means the primary lever to reduce vacancy is accelerating renovation completions and improving property manager comment quality.</w:t>
      </w:r>
    </w:p>
    <w:p w14:paraId="7320CE76" w14:textId="77777777" w:rsidR="006624C7" w:rsidRDefault="006624C7">
      <w:pPr>
        <w:spacing w:after="120"/>
      </w:pPr>
    </w:p>
    <w:p w14:paraId="7320CE77" w14:textId="77777777" w:rsidR="006624C7" w:rsidRDefault="00B50FEC">
      <w:pPr>
        <w:pStyle w:val="Heading2"/>
      </w:pPr>
      <w:proofErr w:type="gramStart"/>
      <w:r>
        <w:t>6.3  Property</w:t>
      </w:r>
      <w:proofErr w:type="gramEnd"/>
      <w:r>
        <w:t>-Level Comparison</w:t>
      </w:r>
    </w:p>
    <w:p w14:paraId="7320CE78" w14:textId="77777777" w:rsidR="006624C7" w:rsidRDefault="006624C7">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200"/>
      </w:tblGrid>
      <w:tr w:rsidR="006624C7" w14:paraId="7320CE7D" w14:textId="77777777">
        <w:tblPrEx>
          <w:tblCellMar>
            <w:top w:w="0" w:type="dxa"/>
            <w:bottom w:w="0" w:type="dxa"/>
          </w:tblCellMar>
        </w:tblPrEx>
        <w:trPr>
          <w:tblHeader/>
        </w:trPr>
        <w:tc>
          <w:tcPr>
            <w:tcW w:w="2200" w:type="dxa"/>
            <w:shd w:val="clear" w:color="auto" w:fill="1F3864"/>
            <w:tcMar>
              <w:top w:w="80" w:type="dxa"/>
              <w:left w:w="80" w:type="dxa"/>
              <w:bottom w:w="80" w:type="dxa"/>
              <w:right w:w="80" w:type="dxa"/>
            </w:tcMar>
          </w:tcPr>
          <w:p w14:paraId="7320CE79" w14:textId="77777777" w:rsidR="006624C7" w:rsidRDefault="00B50FEC">
            <w:pPr>
              <w:jc w:val="center"/>
            </w:pPr>
            <w:r>
              <w:rPr>
                <w:b/>
                <w:bCs/>
                <w:color w:val="FFFFFF"/>
                <w:sz w:val="19"/>
                <w:szCs w:val="19"/>
              </w:rPr>
              <w:t>Property (Entity)</w:t>
            </w:r>
          </w:p>
        </w:tc>
        <w:tc>
          <w:tcPr>
            <w:tcW w:w="2600" w:type="dxa"/>
            <w:shd w:val="clear" w:color="auto" w:fill="1F3864"/>
            <w:tcMar>
              <w:top w:w="80" w:type="dxa"/>
              <w:left w:w="80" w:type="dxa"/>
              <w:bottom w:w="80" w:type="dxa"/>
              <w:right w:w="80" w:type="dxa"/>
            </w:tcMar>
          </w:tcPr>
          <w:p w14:paraId="7320CE7A" w14:textId="77777777" w:rsidR="006624C7" w:rsidRDefault="00B50FEC">
            <w:pPr>
              <w:jc w:val="center"/>
            </w:pPr>
            <w:proofErr w:type="spellStart"/>
            <w:r>
              <w:rPr>
                <w:b/>
                <w:bCs/>
                <w:color w:val="FFFFFF"/>
                <w:sz w:val="19"/>
                <w:szCs w:val="19"/>
              </w:rPr>
              <w:t>Avg</w:t>
            </w:r>
            <w:proofErr w:type="spellEnd"/>
            <w:r>
              <w:rPr>
                <w:b/>
                <w:bCs/>
                <w:color w:val="FFFFFF"/>
                <w:sz w:val="19"/>
                <w:szCs w:val="19"/>
              </w:rPr>
              <w:t xml:space="preserve"> Days Vacant</w:t>
            </w:r>
          </w:p>
        </w:tc>
        <w:tc>
          <w:tcPr>
            <w:tcW w:w="2400" w:type="dxa"/>
            <w:shd w:val="clear" w:color="auto" w:fill="1F3864"/>
            <w:tcMar>
              <w:top w:w="80" w:type="dxa"/>
              <w:left w:w="80" w:type="dxa"/>
              <w:bottom w:w="80" w:type="dxa"/>
              <w:right w:w="80" w:type="dxa"/>
            </w:tcMar>
          </w:tcPr>
          <w:p w14:paraId="7320CE7B" w14:textId="77777777" w:rsidR="006624C7" w:rsidRDefault="00B50FEC">
            <w:pPr>
              <w:jc w:val="center"/>
            </w:pPr>
            <w:r>
              <w:rPr>
                <w:b/>
                <w:bCs/>
                <w:color w:val="FFFFFF"/>
                <w:sz w:val="19"/>
                <w:szCs w:val="19"/>
              </w:rPr>
              <w:t>Units &gt;90 Days</w:t>
            </w:r>
          </w:p>
        </w:tc>
        <w:tc>
          <w:tcPr>
            <w:tcW w:w="2200" w:type="dxa"/>
            <w:shd w:val="clear" w:color="auto" w:fill="1F3864"/>
            <w:tcMar>
              <w:top w:w="80" w:type="dxa"/>
              <w:left w:w="80" w:type="dxa"/>
              <w:bottom w:w="80" w:type="dxa"/>
              <w:right w:w="80" w:type="dxa"/>
            </w:tcMar>
          </w:tcPr>
          <w:p w14:paraId="7320CE7C" w14:textId="77777777" w:rsidR="006624C7" w:rsidRDefault="00B50FEC">
            <w:pPr>
              <w:jc w:val="center"/>
            </w:pPr>
            <w:r>
              <w:rPr>
                <w:b/>
                <w:bCs/>
                <w:color w:val="FFFFFF"/>
                <w:sz w:val="19"/>
                <w:szCs w:val="19"/>
              </w:rPr>
              <w:t>Urgency</w:t>
            </w:r>
          </w:p>
        </w:tc>
      </w:tr>
      <w:tr w:rsidR="006624C7" w14:paraId="7320CE82"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E7E" w14:textId="77777777" w:rsidR="006624C7" w:rsidRDefault="00B50FEC">
            <w:pPr>
              <w:spacing w:before="30" w:after="30"/>
            </w:pPr>
            <w:r>
              <w:rPr>
                <w:sz w:val="19"/>
                <w:szCs w:val="19"/>
              </w:rPr>
              <w:t>Entity 10</w:t>
            </w:r>
          </w:p>
        </w:tc>
        <w:tc>
          <w:tcPr>
            <w:tcW w:w="2600" w:type="dxa"/>
            <w:shd w:val="clear" w:color="auto" w:fill="FFFFFF"/>
            <w:tcMar>
              <w:top w:w="60" w:type="dxa"/>
              <w:left w:w="80" w:type="dxa"/>
              <w:bottom w:w="60" w:type="dxa"/>
              <w:right w:w="80" w:type="dxa"/>
            </w:tcMar>
          </w:tcPr>
          <w:p w14:paraId="7320CE7F" w14:textId="77777777" w:rsidR="006624C7" w:rsidRDefault="00B50FEC">
            <w:pPr>
              <w:spacing w:before="30" w:after="30"/>
            </w:pPr>
            <w:r>
              <w:rPr>
                <w:sz w:val="19"/>
                <w:szCs w:val="19"/>
              </w:rPr>
              <w:t>517 days</w:t>
            </w:r>
          </w:p>
        </w:tc>
        <w:tc>
          <w:tcPr>
            <w:tcW w:w="2400" w:type="dxa"/>
            <w:shd w:val="clear" w:color="auto" w:fill="FFFFFF"/>
            <w:tcMar>
              <w:top w:w="60" w:type="dxa"/>
              <w:left w:w="80" w:type="dxa"/>
              <w:bottom w:w="60" w:type="dxa"/>
              <w:right w:w="80" w:type="dxa"/>
            </w:tcMar>
          </w:tcPr>
          <w:p w14:paraId="7320CE80" w14:textId="77777777" w:rsidR="006624C7" w:rsidRDefault="00B50FEC">
            <w:pPr>
              <w:spacing w:before="30" w:after="30"/>
            </w:pPr>
            <w:r>
              <w:rPr>
                <w:sz w:val="19"/>
                <w:szCs w:val="19"/>
              </w:rPr>
              <w:t>5 units</w:t>
            </w:r>
          </w:p>
        </w:tc>
        <w:tc>
          <w:tcPr>
            <w:tcW w:w="2200" w:type="dxa"/>
            <w:shd w:val="clear" w:color="auto" w:fill="FFDCE1"/>
            <w:tcMar>
              <w:top w:w="60" w:type="dxa"/>
              <w:left w:w="80" w:type="dxa"/>
              <w:bottom w:w="60" w:type="dxa"/>
              <w:right w:w="80" w:type="dxa"/>
            </w:tcMar>
          </w:tcPr>
          <w:p w14:paraId="7320CE81" w14:textId="77777777" w:rsidR="006624C7" w:rsidRDefault="00B50FEC">
            <w:pPr>
              <w:spacing w:before="30" w:after="30"/>
            </w:pPr>
            <w:r>
              <w:rPr>
                <w:sz w:val="19"/>
                <w:szCs w:val="19"/>
              </w:rPr>
              <w:t>Critical</w:t>
            </w:r>
          </w:p>
        </w:tc>
      </w:tr>
      <w:tr w:rsidR="006624C7" w14:paraId="7320CE87"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E83" w14:textId="77777777" w:rsidR="006624C7" w:rsidRDefault="00B50FEC">
            <w:pPr>
              <w:spacing w:before="30" w:after="30"/>
            </w:pPr>
            <w:r>
              <w:rPr>
                <w:sz w:val="19"/>
                <w:szCs w:val="19"/>
              </w:rPr>
              <w:t>Entity 9</w:t>
            </w:r>
          </w:p>
        </w:tc>
        <w:tc>
          <w:tcPr>
            <w:tcW w:w="2600" w:type="dxa"/>
            <w:shd w:val="clear" w:color="auto" w:fill="F2F2F2"/>
            <w:tcMar>
              <w:top w:w="60" w:type="dxa"/>
              <w:left w:w="80" w:type="dxa"/>
              <w:bottom w:w="60" w:type="dxa"/>
              <w:right w:w="80" w:type="dxa"/>
            </w:tcMar>
          </w:tcPr>
          <w:p w14:paraId="7320CE84" w14:textId="77777777" w:rsidR="006624C7" w:rsidRDefault="00B50FEC">
            <w:pPr>
              <w:spacing w:before="30" w:after="30"/>
            </w:pPr>
            <w:r>
              <w:rPr>
                <w:sz w:val="19"/>
                <w:szCs w:val="19"/>
              </w:rPr>
              <w:t>503 days</w:t>
            </w:r>
          </w:p>
        </w:tc>
        <w:tc>
          <w:tcPr>
            <w:tcW w:w="2400" w:type="dxa"/>
            <w:shd w:val="clear" w:color="auto" w:fill="F2F2F2"/>
            <w:tcMar>
              <w:top w:w="60" w:type="dxa"/>
              <w:left w:w="80" w:type="dxa"/>
              <w:bottom w:w="60" w:type="dxa"/>
              <w:right w:w="80" w:type="dxa"/>
            </w:tcMar>
          </w:tcPr>
          <w:p w14:paraId="7320CE85" w14:textId="77777777" w:rsidR="006624C7" w:rsidRDefault="00B50FEC">
            <w:pPr>
              <w:spacing w:before="30" w:after="30"/>
            </w:pPr>
            <w:r>
              <w:rPr>
                <w:sz w:val="19"/>
                <w:szCs w:val="19"/>
              </w:rPr>
              <w:t>6 units</w:t>
            </w:r>
          </w:p>
        </w:tc>
        <w:tc>
          <w:tcPr>
            <w:tcW w:w="2200" w:type="dxa"/>
            <w:shd w:val="clear" w:color="auto" w:fill="FFDCE1"/>
            <w:tcMar>
              <w:top w:w="60" w:type="dxa"/>
              <w:left w:w="80" w:type="dxa"/>
              <w:bottom w:w="60" w:type="dxa"/>
              <w:right w:w="80" w:type="dxa"/>
            </w:tcMar>
          </w:tcPr>
          <w:p w14:paraId="7320CE86" w14:textId="77777777" w:rsidR="006624C7" w:rsidRDefault="00B50FEC">
            <w:pPr>
              <w:spacing w:before="30" w:after="30"/>
            </w:pPr>
            <w:r>
              <w:rPr>
                <w:sz w:val="19"/>
                <w:szCs w:val="19"/>
              </w:rPr>
              <w:t>Critical</w:t>
            </w:r>
          </w:p>
        </w:tc>
      </w:tr>
      <w:tr w:rsidR="006624C7" w14:paraId="7320CE8C" w14:textId="77777777">
        <w:tblPrEx>
          <w:tblCellMar>
            <w:top w:w="0" w:type="dxa"/>
            <w:bottom w:w="0" w:type="dxa"/>
          </w:tblCellMar>
        </w:tblPrEx>
        <w:tc>
          <w:tcPr>
            <w:tcW w:w="2200" w:type="dxa"/>
            <w:shd w:val="clear" w:color="auto" w:fill="FFFFFF"/>
            <w:tcMar>
              <w:top w:w="60" w:type="dxa"/>
              <w:left w:w="80" w:type="dxa"/>
              <w:bottom w:w="60" w:type="dxa"/>
              <w:right w:w="80" w:type="dxa"/>
            </w:tcMar>
          </w:tcPr>
          <w:p w14:paraId="7320CE88" w14:textId="77777777" w:rsidR="006624C7" w:rsidRDefault="00B50FEC">
            <w:pPr>
              <w:spacing w:before="30" w:after="30"/>
            </w:pPr>
            <w:r>
              <w:rPr>
                <w:sz w:val="19"/>
                <w:szCs w:val="19"/>
              </w:rPr>
              <w:t>Entity 5</w:t>
            </w:r>
          </w:p>
        </w:tc>
        <w:tc>
          <w:tcPr>
            <w:tcW w:w="2600" w:type="dxa"/>
            <w:shd w:val="clear" w:color="auto" w:fill="FFFFFF"/>
            <w:tcMar>
              <w:top w:w="60" w:type="dxa"/>
              <w:left w:w="80" w:type="dxa"/>
              <w:bottom w:w="60" w:type="dxa"/>
              <w:right w:w="80" w:type="dxa"/>
            </w:tcMar>
          </w:tcPr>
          <w:p w14:paraId="7320CE89" w14:textId="77777777" w:rsidR="006624C7" w:rsidRDefault="00B50FEC">
            <w:pPr>
              <w:spacing w:before="30" w:after="30"/>
            </w:pPr>
            <w:r>
              <w:rPr>
                <w:sz w:val="19"/>
                <w:szCs w:val="19"/>
              </w:rPr>
              <w:t>170 days</w:t>
            </w:r>
          </w:p>
        </w:tc>
        <w:tc>
          <w:tcPr>
            <w:tcW w:w="2400" w:type="dxa"/>
            <w:shd w:val="clear" w:color="auto" w:fill="FFFFFF"/>
            <w:tcMar>
              <w:top w:w="60" w:type="dxa"/>
              <w:left w:w="80" w:type="dxa"/>
              <w:bottom w:w="60" w:type="dxa"/>
              <w:right w:w="80" w:type="dxa"/>
            </w:tcMar>
          </w:tcPr>
          <w:p w14:paraId="7320CE8A" w14:textId="77777777" w:rsidR="006624C7" w:rsidRDefault="00B50FEC">
            <w:pPr>
              <w:spacing w:before="30" w:after="30"/>
            </w:pPr>
            <w:r>
              <w:rPr>
                <w:sz w:val="19"/>
                <w:szCs w:val="19"/>
              </w:rPr>
              <w:t>2 units</w:t>
            </w:r>
          </w:p>
        </w:tc>
        <w:tc>
          <w:tcPr>
            <w:tcW w:w="2200" w:type="dxa"/>
            <w:shd w:val="clear" w:color="auto" w:fill="FFF2CC"/>
            <w:tcMar>
              <w:top w:w="60" w:type="dxa"/>
              <w:left w:w="80" w:type="dxa"/>
              <w:bottom w:w="60" w:type="dxa"/>
              <w:right w:w="80" w:type="dxa"/>
            </w:tcMar>
          </w:tcPr>
          <w:p w14:paraId="7320CE8B" w14:textId="77777777" w:rsidR="006624C7" w:rsidRDefault="00B50FEC">
            <w:pPr>
              <w:spacing w:before="30" w:after="30"/>
            </w:pPr>
            <w:r>
              <w:rPr>
                <w:sz w:val="19"/>
                <w:szCs w:val="19"/>
              </w:rPr>
              <w:t>Elevated</w:t>
            </w:r>
          </w:p>
        </w:tc>
      </w:tr>
      <w:tr w:rsidR="006624C7" w14:paraId="7320CE91"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320CE8D" w14:textId="77777777" w:rsidR="006624C7" w:rsidRDefault="00B50FEC">
            <w:pPr>
              <w:spacing w:before="30" w:after="30"/>
            </w:pPr>
            <w:r>
              <w:rPr>
                <w:sz w:val="19"/>
                <w:szCs w:val="19"/>
              </w:rPr>
              <w:t>Entity 13</w:t>
            </w:r>
          </w:p>
        </w:tc>
        <w:tc>
          <w:tcPr>
            <w:tcW w:w="2600" w:type="dxa"/>
            <w:shd w:val="clear" w:color="auto" w:fill="F2F2F2"/>
            <w:tcMar>
              <w:top w:w="60" w:type="dxa"/>
              <w:left w:w="80" w:type="dxa"/>
              <w:bottom w:w="60" w:type="dxa"/>
              <w:right w:w="80" w:type="dxa"/>
            </w:tcMar>
          </w:tcPr>
          <w:p w14:paraId="7320CE8E" w14:textId="77777777" w:rsidR="006624C7" w:rsidRDefault="00B50FEC">
            <w:pPr>
              <w:spacing w:before="30" w:after="30"/>
            </w:pPr>
            <w:r>
              <w:rPr>
                <w:sz w:val="19"/>
                <w:szCs w:val="19"/>
              </w:rPr>
              <w:t>50 days</w:t>
            </w:r>
          </w:p>
        </w:tc>
        <w:tc>
          <w:tcPr>
            <w:tcW w:w="2400" w:type="dxa"/>
            <w:shd w:val="clear" w:color="auto" w:fill="F2F2F2"/>
            <w:tcMar>
              <w:top w:w="60" w:type="dxa"/>
              <w:left w:w="80" w:type="dxa"/>
              <w:bottom w:w="60" w:type="dxa"/>
              <w:right w:w="80" w:type="dxa"/>
            </w:tcMar>
          </w:tcPr>
          <w:p w14:paraId="7320CE8F" w14:textId="77777777" w:rsidR="006624C7" w:rsidRDefault="00B50FEC">
            <w:pPr>
              <w:spacing w:before="30" w:after="30"/>
            </w:pPr>
            <w:r>
              <w:rPr>
                <w:sz w:val="19"/>
                <w:szCs w:val="19"/>
              </w:rPr>
              <w:t>0 units</w:t>
            </w:r>
          </w:p>
        </w:tc>
        <w:tc>
          <w:tcPr>
            <w:tcW w:w="2200" w:type="dxa"/>
            <w:shd w:val="clear" w:color="auto" w:fill="E2EFDA"/>
            <w:tcMar>
              <w:top w:w="60" w:type="dxa"/>
              <w:left w:w="80" w:type="dxa"/>
              <w:bottom w:w="60" w:type="dxa"/>
              <w:right w:w="80" w:type="dxa"/>
            </w:tcMar>
          </w:tcPr>
          <w:p w14:paraId="7320CE90" w14:textId="77777777" w:rsidR="006624C7" w:rsidRDefault="00B50FEC">
            <w:pPr>
              <w:spacing w:before="30" w:after="30"/>
            </w:pPr>
            <w:r>
              <w:rPr>
                <w:sz w:val="19"/>
                <w:szCs w:val="19"/>
              </w:rPr>
              <w:t>Normal</w:t>
            </w:r>
          </w:p>
        </w:tc>
      </w:tr>
    </w:tbl>
    <w:p w14:paraId="7320CE92" w14:textId="77777777" w:rsidR="006624C7" w:rsidRDefault="006624C7">
      <w:pPr>
        <w:spacing w:after="80"/>
      </w:pPr>
    </w:p>
    <w:p w14:paraId="7320CE93" w14:textId="77777777" w:rsidR="006624C7" w:rsidRDefault="00B50FEC">
      <w:pPr>
        <w:spacing w:before="60" w:after="60"/>
      </w:pPr>
      <w:r>
        <w:rPr>
          <w:color w:val="1A1A1A"/>
          <w:sz w:val="22"/>
          <w:szCs w:val="22"/>
        </w:rPr>
        <w:t>Entity 10 and Entity 9 are the highest-priority assets, with average vacancy durations exceeding 500 days and the highest unit counts above the 90-day threshold. Entity 13 is the healthiest performer, with no units exceeding 90 days vacant and a sub-60-day average — suggesting its property management and leasing processes are functioning well and can serve as a benchmark.</w:t>
      </w:r>
    </w:p>
    <w:p w14:paraId="7320CE94" w14:textId="77777777" w:rsidR="006624C7" w:rsidRDefault="006624C7">
      <w:pPr>
        <w:spacing w:after="120"/>
      </w:pPr>
    </w:p>
    <w:p w14:paraId="7320CE95" w14:textId="77777777" w:rsidR="006624C7" w:rsidRDefault="00B50FEC">
      <w:pPr>
        <w:pStyle w:val="Heading2"/>
      </w:pPr>
      <w:proofErr w:type="gramStart"/>
      <w:r>
        <w:t>6.4  Rent</w:t>
      </w:r>
      <w:proofErr w:type="gramEnd"/>
      <w:r>
        <w:t xml:space="preserve"> Positioning &amp; Recommended Actions</w:t>
      </w:r>
    </w:p>
    <w:p w14:paraId="7320CE96" w14:textId="77777777" w:rsidR="006624C7" w:rsidRDefault="006624C7">
      <w:pPr>
        <w:spacing w:after="60"/>
      </w:pPr>
    </w:p>
    <w:p w14:paraId="7320CE97" w14:textId="77777777" w:rsidR="006624C7" w:rsidRDefault="00B50FEC">
      <w:pPr>
        <w:spacing w:before="60" w:after="60"/>
      </w:pPr>
      <w:r>
        <w:rPr>
          <w:color w:val="1A1A1A"/>
          <w:sz w:val="22"/>
          <w:szCs w:val="22"/>
        </w:rPr>
        <w:t>The heat-map analysis across columns AD–AG highlights the following strategic positions:</w:t>
      </w:r>
    </w:p>
    <w:p w14:paraId="7320CE98" w14:textId="77777777" w:rsidR="006624C7" w:rsidRDefault="00B50FEC">
      <w:pPr>
        <w:pStyle w:val="ListParagraph"/>
        <w:numPr>
          <w:ilvl w:val="0"/>
          <w:numId w:val="1"/>
        </w:numPr>
        <w:spacing w:before="40" w:after="40"/>
      </w:pPr>
      <w:r>
        <w:rPr>
          <w:color w:val="1A1A1A"/>
          <w:sz w:val="22"/>
          <w:szCs w:val="22"/>
        </w:rPr>
        <w:t>Several units at Entity 5 show stabilized rent at or above current market rent (green heat-map) — these units should be listed immediately without renovation, as they represent direct income opportunities.</w:t>
      </w:r>
    </w:p>
    <w:p w14:paraId="7320CE99" w14:textId="77777777" w:rsidR="006624C7" w:rsidRDefault="00B50FEC">
      <w:pPr>
        <w:pStyle w:val="ListParagraph"/>
        <w:numPr>
          <w:ilvl w:val="0"/>
          <w:numId w:val="1"/>
        </w:numPr>
        <w:spacing w:before="40" w:after="40"/>
      </w:pPr>
      <w:r>
        <w:rPr>
          <w:color w:val="1A1A1A"/>
          <w:sz w:val="22"/>
          <w:szCs w:val="22"/>
        </w:rPr>
        <w:t>The majority of units at Entity 9 and Entity 10 show market rent exceeding stabilized rent (red heat-map) — these are rent-controlled units where the income upside is capped. For un-renovated units with a rent gap exceeding 10% of market rent, the Recommended Action column flags "Consider Light Reno" to qualify for renovation add-ons under rent stabilization rules.</w:t>
      </w:r>
    </w:p>
    <w:p w14:paraId="7320CE9A" w14:textId="77777777" w:rsidR="006624C7" w:rsidRDefault="00B50FEC">
      <w:pPr>
        <w:pStyle w:val="ListParagraph"/>
        <w:numPr>
          <w:ilvl w:val="0"/>
          <w:numId w:val="1"/>
        </w:numPr>
        <w:spacing w:before="40" w:after="40"/>
      </w:pPr>
      <w:r>
        <w:rPr>
          <w:color w:val="1A1A1A"/>
          <w:sz w:val="22"/>
          <w:szCs w:val="22"/>
        </w:rPr>
        <w:t>Units classified as "Renovation" in the reason category at Entity 9 and Entity 10 represent the largest single opportunity: completing these renovations unlocks both the add-on and an accelerated path to re-leasing.</w:t>
      </w:r>
    </w:p>
    <w:p w14:paraId="7320CE9B" w14:textId="77777777" w:rsidR="006624C7" w:rsidRDefault="006624C7">
      <w:pPr>
        <w:spacing w:after="80"/>
      </w:pPr>
    </w:p>
    <w:p w14:paraId="7320CE9C" w14:textId="77777777" w:rsidR="006624C7" w:rsidRDefault="00B50FEC">
      <w:pPr>
        <w:spacing w:before="60" w:after="60"/>
      </w:pPr>
      <w:r>
        <w:rPr>
          <w:color w:val="1A1A1A"/>
          <w:sz w:val="22"/>
          <w:szCs w:val="22"/>
        </w:rPr>
        <w:t>The tracker's three-tier Recommended Action framework (Rent Now / Consider Light Reno / List at Stabilized Rent) allows asset managers to immediately triage each unit without additional analysis.</w:t>
      </w:r>
    </w:p>
    <w:p w14:paraId="7320CE9D" w14:textId="77777777" w:rsidR="006624C7" w:rsidRDefault="006624C7">
      <w:pPr>
        <w:spacing w:after="120"/>
      </w:pPr>
    </w:p>
    <w:p w14:paraId="7320CE9E" w14:textId="77777777" w:rsidR="006624C7" w:rsidRDefault="00B50FEC">
      <w:pPr>
        <w:pStyle w:val="Heading2"/>
      </w:pPr>
      <w:proofErr w:type="gramStart"/>
      <w:r>
        <w:t>6.5  Key</w:t>
      </w:r>
      <w:proofErr w:type="gramEnd"/>
      <w:r>
        <w:t xml:space="preserve"> Takeaways</w:t>
      </w:r>
    </w:p>
    <w:p w14:paraId="7320CE9F" w14:textId="77777777" w:rsidR="006624C7" w:rsidRDefault="006624C7">
      <w:pPr>
        <w:spacing w:after="60"/>
      </w:pPr>
    </w:p>
    <w:p w14:paraId="7320CEA0" w14:textId="77777777" w:rsidR="006624C7" w:rsidRDefault="00B50FEC">
      <w:pPr>
        <w:pStyle w:val="ListParagraph"/>
        <w:numPr>
          <w:ilvl w:val="0"/>
          <w:numId w:val="1"/>
        </w:numPr>
        <w:spacing w:before="40" w:after="40"/>
      </w:pPr>
      <w:r>
        <w:rPr>
          <w:color w:val="1A1A1A"/>
          <w:sz w:val="22"/>
          <w:szCs w:val="22"/>
        </w:rPr>
        <w:t>9 of the ~18 tracked units have been vacant for over a year — this represents the most acute revenue leakage in the portfolio.</w:t>
      </w:r>
    </w:p>
    <w:p w14:paraId="7320CEA1" w14:textId="77777777" w:rsidR="006624C7" w:rsidRDefault="00B50FEC">
      <w:pPr>
        <w:pStyle w:val="ListParagraph"/>
        <w:numPr>
          <w:ilvl w:val="0"/>
          <w:numId w:val="1"/>
        </w:numPr>
        <w:spacing w:before="40" w:after="40"/>
      </w:pPr>
      <w:r>
        <w:rPr>
          <w:color w:val="1A1A1A"/>
          <w:sz w:val="22"/>
          <w:szCs w:val="22"/>
        </w:rPr>
        <w:t>Entity 9 and Entity 10 together account for 11 of the 13 units vacant more than 90 days and require immediate escalation.</w:t>
      </w:r>
    </w:p>
    <w:p w14:paraId="7320CEA2" w14:textId="77777777" w:rsidR="006624C7" w:rsidRDefault="00B50FEC">
      <w:pPr>
        <w:pStyle w:val="ListParagraph"/>
        <w:numPr>
          <w:ilvl w:val="0"/>
          <w:numId w:val="1"/>
        </w:numPr>
        <w:spacing w:before="40" w:after="40"/>
      </w:pPr>
      <w:r>
        <w:rPr>
          <w:color w:val="1A1A1A"/>
          <w:sz w:val="22"/>
          <w:szCs w:val="22"/>
        </w:rPr>
        <w:t>Renovation pipeline acceleration at these two entities is the single highest-leverage action available to the fund.</w:t>
      </w:r>
    </w:p>
    <w:p w14:paraId="7320CEA3" w14:textId="77777777" w:rsidR="006624C7" w:rsidRDefault="00B50FEC">
      <w:pPr>
        <w:pStyle w:val="ListParagraph"/>
        <w:numPr>
          <w:ilvl w:val="0"/>
          <w:numId w:val="1"/>
        </w:numPr>
        <w:spacing w:before="40" w:after="40"/>
      </w:pPr>
      <w:r>
        <w:rPr>
          <w:color w:val="1A1A1A"/>
          <w:sz w:val="22"/>
          <w:szCs w:val="22"/>
        </w:rPr>
        <w:t>The tracker's automated comment-to-category classification and Suggested Next Step column eliminate manual interpretation, enabling property managers to act directly from the output.</w:t>
      </w:r>
    </w:p>
    <w:p w14:paraId="7320CEA5" w14:textId="1106680B" w:rsidR="006624C7" w:rsidRDefault="00B50FEC" w:rsidP="00FA6877">
      <w:pPr>
        <w:pStyle w:val="ListParagraph"/>
        <w:numPr>
          <w:ilvl w:val="0"/>
          <w:numId w:val="1"/>
        </w:numPr>
        <w:spacing w:before="40" w:after="40"/>
      </w:pPr>
      <w:r>
        <w:rPr>
          <w:color w:val="1A1A1A"/>
          <w:sz w:val="22"/>
          <w:szCs w:val="22"/>
        </w:rPr>
        <w:t>Entity 13's performance (</w:t>
      </w:r>
      <w:proofErr w:type="spellStart"/>
      <w:r>
        <w:rPr>
          <w:color w:val="1A1A1A"/>
          <w:sz w:val="22"/>
          <w:szCs w:val="22"/>
        </w:rPr>
        <w:t>avg</w:t>
      </w:r>
      <w:proofErr w:type="spellEnd"/>
      <w:r>
        <w:rPr>
          <w:color w:val="1A1A1A"/>
          <w:sz w:val="22"/>
          <w:szCs w:val="22"/>
        </w:rPr>
        <w:t xml:space="preserve"> 50 days vacant, 0 units &gt;90 days) demonstrates that rapid turnaround is achievable within the same fund — this benchmark should be communicated to underperforming property managers.</w:t>
      </w:r>
    </w:p>
    <w:sectPr w:rsidR="006624C7" w:rsidSect="00A9334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64BC5"/>
    <w:multiLevelType w:val="hybridMultilevel"/>
    <w:tmpl w:val="F0EE899E"/>
    <w:lvl w:ilvl="0" w:tplc="F2044C3A">
      <w:start w:val="1"/>
      <w:numFmt w:val="bullet"/>
      <w:lvlText w:val="•"/>
      <w:lvlJc w:val="left"/>
      <w:pPr>
        <w:ind w:left="720" w:hanging="360"/>
      </w:pPr>
    </w:lvl>
    <w:lvl w:ilvl="1" w:tplc="A57E72B6">
      <w:start w:val="1"/>
      <w:numFmt w:val="bullet"/>
      <w:lvlText w:val="◦"/>
      <w:lvlJc w:val="left"/>
      <w:pPr>
        <w:ind w:left="1080" w:hanging="360"/>
      </w:pPr>
    </w:lvl>
    <w:lvl w:ilvl="2" w:tplc="54444726">
      <w:numFmt w:val="decimal"/>
      <w:lvlText w:val=""/>
      <w:lvlJc w:val="left"/>
    </w:lvl>
    <w:lvl w:ilvl="3" w:tplc="D2C69F96">
      <w:numFmt w:val="decimal"/>
      <w:lvlText w:val=""/>
      <w:lvlJc w:val="left"/>
    </w:lvl>
    <w:lvl w:ilvl="4" w:tplc="A7A4B770">
      <w:numFmt w:val="decimal"/>
      <w:lvlText w:val=""/>
      <w:lvlJc w:val="left"/>
    </w:lvl>
    <w:lvl w:ilvl="5" w:tplc="DC007A36">
      <w:numFmt w:val="decimal"/>
      <w:lvlText w:val=""/>
      <w:lvlJc w:val="left"/>
    </w:lvl>
    <w:lvl w:ilvl="6" w:tplc="D118FD36">
      <w:numFmt w:val="decimal"/>
      <w:lvlText w:val=""/>
      <w:lvlJc w:val="left"/>
    </w:lvl>
    <w:lvl w:ilvl="7" w:tplc="C4BE534A">
      <w:numFmt w:val="decimal"/>
      <w:lvlText w:val=""/>
      <w:lvlJc w:val="left"/>
    </w:lvl>
    <w:lvl w:ilvl="8" w:tplc="BE7AD6AE">
      <w:numFmt w:val="decimal"/>
      <w:lvlText w:val=""/>
      <w:lvlJc w:val="left"/>
    </w:lvl>
  </w:abstractNum>
  <w:abstractNum w:abstractNumId="1" w15:restartNumberingAfterBreak="0">
    <w:nsid w:val="4C576B01"/>
    <w:multiLevelType w:val="hybridMultilevel"/>
    <w:tmpl w:val="E832618A"/>
    <w:lvl w:ilvl="0" w:tplc="8520961A">
      <w:start w:val="1"/>
      <w:numFmt w:val="bullet"/>
      <w:lvlText w:val="●"/>
      <w:lvlJc w:val="left"/>
      <w:pPr>
        <w:ind w:left="720" w:hanging="360"/>
      </w:pPr>
    </w:lvl>
    <w:lvl w:ilvl="1" w:tplc="FB0CBC60">
      <w:start w:val="1"/>
      <w:numFmt w:val="bullet"/>
      <w:lvlText w:val="○"/>
      <w:lvlJc w:val="left"/>
      <w:pPr>
        <w:ind w:left="1440" w:hanging="360"/>
      </w:pPr>
    </w:lvl>
    <w:lvl w:ilvl="2" w:tplc="5D226CD0">
      <w:start w:val="1"/>
      <w:numFmt w:val="bullet"/>
      <w:lvlText w:val="■"/>
      <w:lvlJc w:val="left"/>
      <w:pPr>
        <w:ind w:left="2160" w:hanging="360"/>
      </w:pPr>
    </w:lvl>
    <w:lvl w:ilvl="3" w:tplc="E18679D0">
      <w:start w:val="1"/>
      <w:numFmt w:val="bullet"/>
      <w:lvlText w:val="●"/>
      <w:lvlJc w:val="left"/>
      <w:pPr>
        <w:ind w:left="2880" w:hanging="360"/>
      </w:pPr>
    </w:lvl>
    <w:lvl w:ilvl="4" w:tplc="94365C90">
      <w:start w:val="1"/>
      <w:numFmt w:val="bullet"/>
      <w:lvlText w:val="○"/>
      <w:lvlJc w:val="left"/>
      <w:pPr>
        <w:ind w:left="3600" w:hanging="360"/>
      </w:pPr>
    </w:lvl>
    <w:lvl w:ilvl="5" w:tplc="860CF65E">
      <w:start w:val="1"/>
      <w:numFmt w:val="bullet"/>
      <w:lvlText w:val="■"/>
      <w:lvlJc w:val="left"/>
      <w:pPr>
        <w:ind w:left="4320" w:hanging="360"/>
      </w:pPr>
    </w:lvl>
    <w:lvl w:ilvl="6" w:tplc="07D82D18">
      <w:start w:val="1"/>
      <w:numFmt w:val="bullet"/>
      <w:lvlText w:val="●"/>
      <w:lvlJc w:val="left"/>
      <w:pPr>
        <w:ind w:left="5040" w:hanging="360"/>
      </w:pPr>
    </w:lvl>
    <w:lvl w:ilvl="7" w:tplc="6BB69F50">
      <w:start w:val="1"/>
      <w:numFmt w:val="bullet"/>
      <w:lvlText w:val="●"/>
      <w:lvlJc w:val="left"/>
      <w:pPr>
        <w:ind w:left="5760" w:hanging="360"/>
      </w:pPr>
    </w:lvl>
    <w:lvl w:ilvl="8" w:tplc="5A68BDC2">
      <w:start w:val="1"/>
      <w:numFmt w:val="bullet"/>
      <w:lvlText w:val="●"/>
      <w:lvlJc w:val="left"/>
      <w:pPr>
        <w:ind w:left="6480" w:hanging="360"/>
      </w:pPr>
    </w:lvl>
  </w:abstractNum>
  <w:num w:numId="1" w16cid:durableId="565534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4C7"/>
    <w:rsid w:val="004A565A"/>
    <w:rsid w:val="005A5450"/>
    <w:rsid w:val="006624C7"/>
    <w:rsid w:val="006E308D"/>
    <w:rsid w:val="00850A06"/>
    <w:rsid w:val="0096045B"/>
    <w:rsid w:val="00A93348"/>
    <w:rsid w:val="00C6708E"/>
    <w:rsid w:val="00FA68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CCA7"/>
  <w15:docId w15:val="{B42BB2B0-1855-47E2-9F93-67604145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360" w:after="120"/>
      <w:ind w:left="200"/>
      <w:outlineLvl w:val="0"/>
    </w:pPr>
    <w:rPr>
      <w:rFonts w:ascii="Calibri" w:eastAsia="Calibri" w:hAnsi="Calibri" w:cs="Calibri"/>
      <w:b/>
      <w:bCs/>
      <w:color w:val="FFFFFF"/>
      <w:sz w:val="28"/>
      <w:szCs w:val="28"/>
    </w:rPr>
  </w:style>
  <w:style w:type="paragraph" w:styleId="Heading2">
    <w:name w:val="heading 2"/>
    <w:uiPriority w:val="9"/>
    <w:unhideWhenUsed/>
    <w:qFormat/>
    <w:pPr>
      <w:pBdr>
        <w:bottom w:val="single" w:sz="4" w:space="0" w:color="2E75B6"/>
      </w:pBdr>
      <w:spacing w:before="240" w:after="80"/>
      <w:outlineLvl w:val="1"/>
    </w:pPr>
    <w:rPr>
      <w:rFonts w:ascii="Calibri" w:eastAsia="Calibri" w:hAnsi="Calibri" w:cs="Calibri"/>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3355</Words>
  <Characters>19125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Manya Agarwal</dc:creator>
  <cp:lastModifiedBy>Manya Agarwal</cp:lastModifiedBy>
  <cp:revision>11</cp:revision>
  <dcterms:created xsi:type="dcterms:W3CDTF">2026-09-16T19:46:00Z</dcterms:created>
  <dcterms:modified xsi:type="dcterms:W3CDTF">2026-09-17T10:26:00Z</dcterms:modified>
</cp:coreProperties>
</file>