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Xe094ce0aef6edb3d41096cf78f2274bd2fcd21c"/>
    <w:p>
      <w:pPr>
        <w:pStyle w:val="Heading1"/>
      </w:pPr>
      <w:r>
        <w:t xml:space="preserve">Knowledge Distillation for Motion Prediction (HiVT) — Key Findings</w:t>
      </w:r>
    </w:p>
    <w:p>
      <w:pPr>
        <w:pStyle w:val="BlockText"/>
      </w:pPr>
      <w:r>
        <w:t xml:space="preserve">Working report. Companion to the detailed log in</w:t>
      </w:r>
      <w:r>
        <w:t xml:space="preserve"> </w:t>
      </w:r>
      <w:hyperlink r:id="rId9">
        <w:r>
          <w:rPr>
            <w:rStyle w:val="VerbatimChar"/>
          </w:rPr>
          <w:t xml:space="preserve">kd_emb32_kl_comparison.md</w:t>
        </w:r>
      </w:hyperlink>
      <w:r>
        <w:t xml:space="preserve"> </w:t>
      </w:r>
      <w:r>
        <w:t xml:space="preserve">(full tables, glossary,</w:t>
      </w:r>
      <w:r>
        <w:t xml:space="preserve"> </w:t>
      </w:r>
      <w:r>
        <w:t xml:space="preserve">reproduction commands). This document is the curated key-findings summary.</w:t>
      </w:r>
    </w:p>
    <w:p>
      <w:r>
        <w:pict>
          <v:rect style="width:0;height:1.5pt" o:hralign="center" o:hrstd="t" o:hr="t"/>
        </w:pict>
      </w:r>
    </w:p>
    <w:bookmarkStart w:id="10" w:name="recap-thesis-narrative"/>
    <w:p>
      <w:pPr>
        <w:pStyle w:val="Heading2"/>
      </w:pPr>
      <w:r>
        <w:t xml:space="preserve">1. Recap / thesis narrative</w:t>
      </w:r>
    </w:p>
    <w:p>
      <w:pPr>
        <w:pStyle w:val="FirstParagraph"/>
      </w:pPr>
      <w:r>
        <w:t xml:space="preserve">The thesis is on</w:t>
      </w:r>
      <w:r>
        <w:t xml:space="preserve"> </w:t>
      </w:r>
      <w:r>
        <w:rPr>
          <w:b/>
          <w:bCs/>
        </w:rPr>
        <w:t xml:space="preserve">motion prediction</w:t>
      </w:r>
      <w:r>
        <w:t xml:space="preserve">, motivated by</w:t>
      </w:r>
      <w:r>
        <w:t xml:space="preserve"> </w:t>
      </w:r>
      <w:r>
        <w:rPr>
          <w:b/>
          <w:bCs/>
        </w:rPr>
        <w:t xml:space="preserve">hardware limitations</w:t>
      </w:r>
      <w:r>
        <w:t xml:space="preserve">: large</w:t>
      </w:r>
      <w:r>
        <w:t xml:space="preserve"> </w:t>
      </w:r>
      <w:r>
        <w:t xml:space="preserve">models like HiVT-128 are accurate but expensive, so we ask how small a model can be</w:t>
      </w:r>
      <w:r>
        <w:t xml:space="preserve"> </w:t>
      </w:r>
      <w:r>
        <w:t xml:space="preserve">made while retaining its predictive quality. We follow the</w:t>
      </w:r>
      <w:r>
        <w:t xml:space="preserve"> </w:t>
      </w:r>
      <w:r>
        <w:rPr>
          <w:b/>
          <w:bCs/>
        </w:rPr>
        <w:t xml:space="preserve">knowledge-distillation</w:t>
      </w:r>
      <w:r>
        <w:rPr>
          <w:b/>
          <w:bCs/>
        </w:rPr>
        <w:t xml:space="preserve"> </w:t>
      </w:r>
      <w:r>
        <w:rPr>
          <w:b/>
          <w:bCs/>
        </w:rPr>
        <w:t xml:space="preserve">(KD)</w:t>
      </w:r>
      <w:r>
        <w:t xml:space="preserve"> </w:t>
      </w:r>
      <w:r>
        <w:t xml:space="preserve">path: take a pretrained</w:t>
      </w:r>
      <w:r>
        <w:t xml:space="preserve"> </w:t>
      </w:r>
      <w:r>
        <w:rPr>
          <w:b/>
          <w:bCs/>
        </w:rPr>
        <w:t xml:space="preserve">HiVT-128 teacher</w:t>
      </w:r>
      <w:r>
        <w:t xml:space="preserve"> </w:t>
      </w:r>
      <w:r>
        <w:t xml:space="preserve">and transfer its knowledge to a</w:t>
      </w:r>
      <w:r>
        <w:t xml:space="preserve"> </w:t>
      </w:r>
      <w:r>
        <w:t xml:space="preserve">much smaller</w:t>
      </w:r>
      <w:r>
        <w:t xml:space="preserve"> </w:t>
      </w:r>
      <w:r>
        <w:rPr>
          <w:b/>
          <w:bCs/>
        </w:rPr>
        <w:t xml:space="preserve">HiVT-32 student</w:t>
      </w:r>
      <w:r>
        <w:t xml:space="preserve"> </w:t>
      </w:r>
      <w:r>
        <w:t xml:space="preserve">(and, next, HiVT-16).</w:t>
      </w:r>
    </w:p>
    <w:p>
      <w:pPr>
        <w:pStyle w:val="BodyText"/>
      </w:pPr>
      <w:r>
        <w:t xml:space="preserve">The arc of the work: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Naive index-aligned KD did nothing</w:t>
      </w:r>
      <w:r>
        <w:t xml:space="preserve"> </w:t>
      </w:r>
      <w:r>
        <w:t xml:space="preserve">— because the teacher’s and student’s</w:t>
      </w:r>
      <w:r>
        <w:t xml:space="preserve"> </w:t>
      </w:r>
      <w:r>
        <w:t xml:space="preserve">mixture modes do not correspond slot-for-slot (shown empirically in §3).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permutation-invariant KD loss (v1)</w:t>
      </w:r>
      <w:r>
        <w:t xml:space="preserve"> </w:t>
      </w:r>
      <w:r>
        <w:t xml:space="preserve">fixed the correspondence problem and</w:t>
      </w:r>
      <w:r>
        <w:t xml:space="preserve"> </w:t>
      </w:r>
      <w:r>
        <w:rPr>
          <w:b/>
          <w:bCs/>
        </w:rPr>
        <w:t xml:space="preserve">improved accuracy</w:t>
      </w:r>
      <w:r>
        <w:t xml:space="preserve"> </w:t>
      </w:r>
      <w:r>
        <w:t xml:space="preserve">(minADE/FDE/MR) — but by</w:t>
      </w:r>
      <w:r>
        <w:t xml:space="preserve"> </w:t>
      </w:r>
      <w:r>
        <w:rPr>
          <w:b/>
          <w:bCs/>
        </w:rPr>
        <w:t xml:space="preserve">discarding the teacher’s</w:t>
      </w:r>
      <w:r>
        <w:rPr>
          <w:b/>
          <w:bCs/>
        </w:rPr>
        <w:t xml:space="preserve"> </w:t>
      </w:r>
      <w:r>
        <w:rPr>
          <w:b/>
          <w:bCs/>
        </w:rPr>
        <w:t xml:space="preserve">uncertainty</w:t>
      </w:r>
      <w:r>
        <w:t xml:space="preserve">, it made the student</w:t>
      </w:r>
      <w:r>
        <w:t xml:space="preserve"> </w:t>
      </w:r>
      <w:r>
        <w:rPr>
          <w:b/>
          <w:bCs/>
        </w:rPr>
        <w:t xml:space="preserve">over-confident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worsened</w:t>
      </w:r>
      <w:r>
        <w:rPr>
          <w:b/>
          <w:bCs/>
        </w:rPr>
        <w:t xml:space="preserve"> </w:t>
      </w:r>
      <w:r>
        <w:rPr>
          <w:b/>
          <w:bCs/>
        </w:rPr>
        <w:t xml:space="preserve">calibration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distribution-matching KD loss (v2)</w:t>
      </w:r>
      <w:r>
        <w:t xml:space="preserve"> </w:t>
      </w:r>
      <w:r>
        <w:t xml:space="preserve">distils the teacher’s</w:t>
      </w:r>
      <w:r>
        <w:t xml:space="preserve"> </w:t>
      </w:r>
      <w:r>
        <w:rPr>
          <w:i/>
          <w:iCs/>
        </w:rPr>
        <w:t xml:space="preserve">full predictive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(not just its mode means), and</w:t>
      </w:r>
      <w:r>
        <w:t xml:space="preserve"> </w:t>
      </w:r>
      <w:r>
        <w:rPr>
          <w:b/>
          <w:bCs/>
        </w:rPr>
        <w:t xml:space="preserve">recovers calibration</w:t>
      </w:r>
      <w:r>
        <w:t xml:space="preserve"> </w:t>
      </w:r>
      <w:r>
        <w:t xml:space="preserve">while</w:t>
      </w:r>
      <w:r>
        <w:t xml:space="preserve"> </w:t>
      </w:r>
      <w:r>
        <w:t xml:space="preserve">keeping the accuracy gain.</w:t>
      </w:r>
    </w:p>
    <w:p>
      <w:pPr>
        <w:pStyle w:val="FirstParagraph"/>
      </w:pPr>
      <w:r>
        <w:t xml:space="preserve">The remaining axis — central to the hardware motivation — is</w:t>
      </w:r>
      <w:r>
        <w:t xml:space="preserve"> </w:t>
      </w:r>
      <w:r>
        <w:rPr>
          <w:b/>
          <w:bCs/>
        </w:rPr>
        <w:t xml:space="preserve">efficiency vs.</w:t>
      </w:r>
      <w:r>
        <w:rPr>
          <w:b/>
          <w:bCs/>
        </w:rPr>
        <w:t xml:space="preserve"> </w:t>
      </w:r>
      <w:r>
        <w:rPr>
          <w:b/>
          <w:bCs/>
        </w:rPr>
        <w:t xml:space="preserve">accuracy/calibration vs. model size</w:t>
      </w:r>
      <w:r>
        <w:t xml:space="preserve"> </w:t>
      </w:r>
      <w:r>
        <w:t xml:space="preserve">(§8).</w:t>
      </w:r>
    </w:p>
    <w:p>
      <w:r>
        <w:pict>
          <v:rect style="width:0;height:1.5pt" o:hralign="center" o:hrstd="t" o:hr="t"/>
        </w:pict>
      </w:r>
    </w:p>
    <w:bookmarkEnd w:id="10"/>
    <w:bookmarkStart w:id="11" w:name="setup"/>
    <w:p>
      <w:pPr>
        <w:pStyle w:val="Heading2"/>
      </w:pPr>
      <w:r>
        <w:t xml:space="preserve">2. Setup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HiVT-128</w:t>
            </w:r>
            <w:r>
              <w:t xml:space="preserve"> </w:t>
            </w:r>
            <w:r>
              <w:t xml:space="preserve">(pretrained author checkpoint), 2.56 M 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HiVT-32</w:t>
            </w:r>
            <w:r>
              <w:t xml:space="preserve"> </w:t>
            </w:r>
            <w:r>
              <w:t xml:space="preserve">(this work), 170 K params (</w:t>
            </w:r>
            <w:r>
              <w:rPr>
                <w:b/>
                <w:bCs/>
              </w:rPr>
              <w:t xml:space="preserve">15× smaller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student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HiVT-16</w:t>
            </w:r>
            <w:r>
              <w:t xml:space="preserve">, 46 K params (</w:t>
            </w:r>
            <w:r>
              <w:rPr>
                <w:b/>
                <w:bCs/>
              </w:rPr>
              <w:t xml:space="preserve">55× smaller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Argoverse-1 motion forecasting, full val = 39,472 scenes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bs=128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lr=3e-3</w:t>
            </w:r>
            <w:r>
              <w:t xml:space="preserve">, bf16, ~64 epochs (full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teacher_outputs/train_fix.h5</w:t>
            </w:r>
            <w:r>
              <w:t xml:space="preserve"> </w:t>
            </w:r>
            <w:r>
              <w:t xml:space="preserve">(verified-good)</w:t>
            </w:r>
          </w:p>
        </w:tc>
      </w:tr>
    </w:tbl>
    <w:p>
      <w:pPr>
        <w:pStyle w:val="BodyText"/>
      </w:pPr>
      <w:r>
        <w:t xml:space="preserve">Metrics: geometry = oracle best-of-6 (</w:t>
      </w:r>
      <w:r>
        <w:rPr>
          <w:rStyle w:val="VerbatimChar"/>
        </w:rPr>
        <w:t xml:space="preserve">minADE</w:t>
      </w:r>
      <w:r>
        <w:t xml:space="preserve">/</w:t>
      </w:r>
      <w:r>
        <w:rPr>
          <w:rStyle w:val="VerbatimChar"/>
        </w:rPr>
        <w:t xml:space="preserve">minFDE</w:t>
      </w:r>
      <w:r>
        <w:t xml:space="preserve">/</w:t>
      </w:r>
      <w:r>
        <w:rPr>
          <w:rStyle w:val="VerbatimChar"/>
        </w:rPr>
        <w:t xml:space="preserve">minMR</w:t>
      </w:r>
      <w:r>
        <w:t xml:space="preserve">); probability-aware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brier-minFDE</w:t>
      </w:r>
      <w:r>
        <w:t xml:space="preserve"> </w:t>
      </w:r>
      <w:r>
        <w:t xml:space="preserve">(official Argoverse-1 ranking metric); full-distribution =</w:t>
      </w:r>
      <w:r>
        <w:t xml:space="preserve"> </w:t>
      </w:r>
      <w:r>
        <w:rPr>
          <w:rStyle w:val="VerbatimChar"/>
        </w:rPr>
        <w:t xml:space="preserve">mixNLL</w:t>
      </w:r>
      <w:r>
        <w:t xml:space="preserve">; calibration diagnostics =</w:t>
      </w:r>
      <w:r>
        <w:t xml:space="preserve"> </w:t>
      </w:r>
      <w:r>
        <w:rPr>
          <w:rStyle w:val="VerbatimChar"/>
        </w:rPr>
        <w:t xml:space="preserve">b_scale</w:t>
      </w:r>
      <w:r>
        <w:t xml:space="preserve"> </w:t>
      </w:r>
      <w:r>
        <w:t xml:space="preserve">(predicted Laplace sharpness),</w:t>
      </w:r>
      <w:r>
        <w:t xml:space="preserve"> </w:t>
      </w:r>
      <w:r>
        <w:rPr>
          <w:rStyle w:val="VerbatimChar"/>
        </w:rPr>
        <w:t xml:space="preserve">calib_err</w:t>
      </w:r>
      <w:r>
        <w:t xml:space="preserve">, coverage</w:t>
      </w:r>
      <w:r>
        <w:t xml:space="preserve"> </w:t>
      </w:r>
      <w:r>
        <w:rPr>
          <w:rStyle w:val="VerbatimChar"/>
        </w:rPr>
        <w:t xml:space="preserve">cov_p*</w:t>
      </w:r>
      <w:r>
        <w:t xml:space="preserve">,</w:t>
      </w:r>
      <w:r>
        <w:t xml:space="preserve"> </w:t>
      </w:r>
      <w:r>
        <w:rPr>
          <w:rStyle w:val="VerbatimChar"/>
        </w:rPr>
        <w:t xml:space="preserve">pi_entropy</w:t>
      </w:r>
      <w:r>
        <w:t xml:space="preserve">. (Full glossary in the companion doc.)</w:t>
      </w:r>
    </w:p>
    <w:p>
      <w:r>
        <w:pict>
          <v:rect style="width:0;height:1.5pt" o:hralign="center" o:hrstd="t" o:hr="t"/>
        </w:pict>
      </w:r>
    </w:p>
    <w:bookmarkEnd w:id="11"/>
    <w:bookmarkStart w:id="17" w:name="Xb22bca14c43f266fe40a35af329778a39162da2"/>
    <w:p>
      <w:pPr>
        <w:pStyle w:val="Heading2"/>
      </w:pPr>
      <w:r>
        <w:t xml:space="preserve">3. Why a permutation-invariant loss — the mode-correspondence diagnostic</w:t>
      </w:r>
    </w:p>
    <w:p>
      <w:pPr>
        <w:pStyle w:val="FirstParagraph"/>
      </w:pPr>
      <w:r>
        <w:t xml:space="preserve">HiVT trains its mixture modes with a</w:t>
      </w:r>
      <w:r>
        <w:t xml:space="preserve"> </w:t>
      </w:r>
      <w:r>
        <w:rPr>
          <w:b/>
          <w:bCs/>
        </w:rPr>
        <w:t xml:space="preserve">winner-takes-all</w:t>
      </w:r>
      <w:r>
        <w:t xml:space="preserve"> </w:t>
      </w:r>
      <w:r>
        <w:t xml:space="preserve">objective, which is</w:t>
      </w:r>
      <w:r>
        <w:t xml:space="preserve"> </w:t>
      </w:r>
      <w:r>
        <w:rPr>
          <w:i/>
          <w:iCs/>
        </w:rPr>
        <w:t xml:space="preserve">symmetric under relabelling of the modes</w:t>
      </w:r>
      <w:r>
        <w:t xml:space="preserve">. So which slot specialises to which</w:t>
      </w:r>
      <w:r>
        <w:t xml:space="preserve"> </w:t>
      </w:r>
      <w:r>
        <w:t xml:space="preserve">behaviour (</w:t>
      </w:r>
      <w:r>
        <w:t xml:space="preserve">“turn left”</w:t>
      </w:r>
      <w:r>
        <w:t xml:space="preserve">,</w:t>
      </w:r>
      <w:r>
        <w:t xml:space="preserve"> </w:t>
      </w:r>
      <w:r>
        <w:t xml:space="preserve">“keep straight”</w:t>
      </w:r>
      <w:r>
        <w:t xml:space="preserve">, …) is</w:t>
      </w:r>
      <w:r>
        <w:t xml:space="preserve"> </w:t>
      </w:r>
      <w:r>
        <w:rPr>
          <w:b/>
          <w:bCs/>
        </w:rPr>
        <w:t xml:space="preserve">arbitrary per training run</w:t>
      </w:r>
      <w:r>
        <w:t xml:space="preserve">. Two</w:t>
      </w:r>
      <w:r>
        <w:t xml:space="preserve"> </w:t>
      </w:r>
      <w:r>
        <w:t xml:space="preserve">independently trained models (HiVT-128 teacher, HiVT-32 student) therefore have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reason to share slot ordering</w:t>
      </w:r>
      <w:r>
        <w:t xml:space="preserve"> </w:t>
      </w:r>
      <w:r>
        <w:t xml:space="preserve">— and a naive index-aligned KD loss (compare</w:t>
      </w:r>
      <w:r>
        <w:t xml:space="preserve"> </w:t>
      </w:r>
      <w:r>
        <w:t xml:space="preserve">student-mode-k to teacher-mode-k) compares unrelated trajectories.</w:t>
      </w:r>
    </w:p>
    <w:p>
      <w:pPr>
        <w:pStyle w:val="BodyText"/>
      </w:pPr>
      <w:r>
        <w:t xml:space="preserve">We tested this directly (</w:t>
      </w:r>
      <w:hyperlink r:id="rId12">
        <w:r>
          <w:rPr>
            <w:rStyle w:val="VerbatimChar"/>
          </w:rPr>
          <w:t xml:space="preserve">KD/kd_mode_permutation_test.py</w:t>
        </w:r>
      </w:hyperlink>
      <w:r>
        <w:t xml:space="preserve">,</w:t>
      </w:r>
      <w:r>
        <w:t xml:space="preserve"> </w:t>
      </w:r>
      <w:r>
        <w:t xml:space="preserve">500 scenes):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(index-aligned) is optimal 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0.0%</w:t>
            </w:r>
            <w:r>
              <w:t xml:space="preserve"> </w:t>
            </w:r>
            <w:r>
              <w:t xml:space="preserve">of scenes</w:t>
            </w:r>
          </w:p>
        </w:tc>
        <w:tc>
          <w:tcPr/>
          <w:p>
            <w:pPr>
              <w:pStyle w:val="Compact"/>
            </w:pPr>
            <w:r>
              <w:t xml:space="preserve">slots never line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 accidental alignment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 (chance = 0.167)</w:t>
            </w:r>
          </w:p>
        </w:tc>
        <w:tc>
          <w:tcPr/>
          <w:p>
            <w:pPr>
              <w:pStyle w:val="Compact"/>
            </w:pPr>
            <w:r>
              <w:t xml:space="preserve">≈ chance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pairing distance,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5.165 m</w:t>
            </w:r>
          </w:p>
        </w:tc>
        <w:tc>
          <w:tcPr/>
          <w:p>
            <w:pPr>
              <w:pStyle w:val="Compact"/>
            </w:pPr>
            <w:r>
              <w:t xml:space="preserve">index-aligned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pairing distance, optimal (Hungarian)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1.817 m</w:t>
            </w:r>
          </w:p>
        </w:tc>
        <w:tc>
          <w:tcPr/>
          <w:p>
            <w:pPr>
              <w:pStyle w:val="Compact"/>
            </w:pPr>
            <w:r>
              <w:t xml:space="preserve">best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/ optimal cost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3.98×</w:t>
            </w:r>
            <w:r>
              <w:t xml:space="preserve"> </w:t>
            </w:r>
            <w:r>
              <w:t xml:space="preserve">(median 3.31×)</w:t>
            </w:r>
          </w:p>
        </w:tc>
        <w:tc>
          <w:tcPr/>
          <w:p>
            <w:pPr>
              <w:pStyle w:val="Compact"/>
            </w:pPr>
            <w:r>
              <w:t xml:space="preserve">index-alignment is 4× worse</w:t>
            </w:r>
          </w:p>
        </w:tc>
      </w:tr>
    </w:tbl>
    <w:p>
      <w:pPr>
        <w:pStyle w:val="CaptionedFigure"/>
      </w:pPr>
      <w:r>
        <w:drawing>
          <wp:inline>
            <wp:extent cx="3840479" cy="3657600"/>
            <wp:effectExtent b="0" l="0" r="0" t="0"/>
            <wp:docPr descr="optimal-permutation assignments" title="" id="14" name="Picture"/>
            <a:graphic>
              <a:graphicData uri="http://schemas.openxmlformats.org/drawingml/2006/picture">
                <pic:pic>
                  <pic:nvPicPr>
                    <pic:cNvPr descr="../KD/diagnostics/mode_perm_optimal_fde_n500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79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optimal-permutation assignments</w:t>
      </w:r>
    </w:p>
    <w:p>
      <w:pPr>
        <w:pStyle w:val="BodyText"/>
      </w:pPr>
      <w:r>
        <w:rPr>
          <w:b/>
          <w:bCs/>
        </w:rPr>
        <w:t xml:space="preserve">Reading the figure:</w:t>
      </w:r>
      <w:r>
        <w:t xml:space="preserve"> </w:t>
      </w:r>
      <w:r>
        <w:t xml:space="preserve">under optimal (Hungarian) matching, each student mode (row)</w:t>
      </w:r>
      <w:r>
        <w:t xml:space="preserve"> </w:t>
      </w:r>
      <w:r>
        <w:t xml:space="preserve">maps strongly to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teacher mode (column) — a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exists across the dataset — but it is</w:t>
      </w:r>
      <w:r>
        <w:t xml:space="preserve"> </w:t>
      </w:r>
      <w:r>
        <w:rPr>
          <w:b/>
          <w:bCs/>
        </w:rPr>
        <w:t xml:space="preserve">not the diagonal</w:t>
      </w:r>
      <w:r>
        <w:t xml:space="preserve"> </w:t>
      </w:r>
      <w:r>
        <w:t xml:space="preserve">(student 1→teacher 4,</w:t>
      </w:r>
      <w:r>
        <w:t xml:space="preserve"> </w:t>
      </w:r>
      <w:r>
        <w:t xml:space="preserve">2→5, 3→2, 4→1, 5→3). Compare the greedy/accidental version</w:t>
      </w:r>
      <w:r>
        <w:t xml:space="preserve"> </w:t>
      </w:r>
      <w:r>
        <w:t xml:space="preserve">(</w:t>
      </w:r>
      <w:hyperlink r:id="rId16">
        <w:r>
          <w:rPr>
            <w:rStyle w:val="VerbatimChar"/>
          </w:rPr>
          <w:t xml:space="preserve">mode_perm_greedy_fde_n500.png</w:t>
        </w:r>
      </w:hyperlink>
      <w:r>
        <w:t xml:space="preserve">),</w:t>
      </w:r>
      <w:r>
        <w:t xml:space="preserve"> </w:t>
      </w:r>
      <w:r>
        <w:t xml:space="preserve">which is diffuse.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mode slots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correspond across the two models, so</w:t>
      </w:r>
      <w:r>
        <w:t xml:space="preserve"> </w:t>
      </w:r>
      <w:r>
        <w:t xml:space="preserve">index-aligned KD is ill-posed. The fix is a loss that is invariant to mode ordering.</w:t>
      </w:r>
    </w:p>
    <w:p>
      <w:r>
        <w:pict>
          <v:rect style="width:0;height:1.5pt" o:hralign="center" o:hrstd="t" o:hr="t"/>
        </w:pict>
      </w:r>
    </w:p>
    <w:bookmarkEnd w:id="17"/>
    <w:bookmarkStart w:id="21" w:name="the-two-kd-losses-kdkd_loss.py"/>
    <w:p>
      <w:pPr>
        <w:pStyle w:val="Heading2"/>
      </w:pPr>
      <w:r>
        <w:t xml:space="preserve">4. The two KD losses (</w:t>
      </w:r>
      <w:hyperlink r:id="rId18">
        <w:r>
          <w:rPr>
            <w:rStyle w:val="VerbatimChar"/>
          </w:rPr>
          <w:t xml:space="preserve">KD/kd_loss.py</w:t>
        </w:r>
      </w:hyperlink>
      <w:r>
        <w:t xml:space="preserve">)</w:t>
      </w:r>
    </w:p>
    <w:p>
      <w:pPr>
        <w:pStyle w:val="FirstParagraph"/>
      </w:pPr>
      <w:r>
        <w:t xml:space="preserve">Both losses score teacher targets under the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student K-mode mixture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logsumexp</w:t>
      </w:r>
      <w:r>
        <w:t xml:space="preserve"> </w:t>
      </w:r>
      <w:r>
        <w:t xml:space="preserve">over student modes), so they are</w:t>
      </w:r>
      <w:r>
        <w:t xml:space="preserve"> </w:t>
      </w:r>
      <w:r>
        <w:rPr>
          <w:b/>
          <w:bCs/>
        </w:rPr>
        <w:t xml:space="preserve">permutation-invariant</w:t>
      </w:r>
      <w:r>
        <w:t xml:space="preserve"> </w:t>
      </w:r>
      <w:r>
        <w:t xml:space="preserve">— no</w:t>
      </w:r>
      <w:r>
        <w:t xml:space="preserve"> </w:t>
      </w:r>
      <w:r>
        <w:t xml:space="preserve">Hungarian matching needed, and student-K need not equal teacher-F. What differs is</w:t>
      </w:r>
      <w:r>
        <w:t xml:space="preserve"> </w:t>
      </w:r>
      <w:r>
        <w:rPr>
          <w:i/>
          <w:iCs/>
        </w:rPr>
        <w:t xml:space="preserve">what is distilled</w:t>
      </w:r>
      <w:r>
        <w:t xml:space="preserve">.</w:t>
      </w:r>
    </w:p>
    <w:bookmarkStart w:id="19" w:name="X142b6fdea926adbded65911dc74906cac6f90d7"/>
    <w:p>
      <w:pPr>
        <w:pStyle w:val="Heading3"/>
      </w:pPr>
      <w:r>
        <w:t xml:space="preserve">v1 — mean-target distillation (</w:t>
      </w:r>
      <w:r>
        <w:rPr>
          <w:rStyle w:val="VerbatimChar"/>
        </w:rPr>
        <w:t xml:space="preserve">--kd_mode mean</w:t>
      </w:r>
      <w:r>
        <w:t xml:space="preserve">)</w:t>
      </w:r>
    </w:p>
    <w:p>
      <w:pPr>
        <w:pStyle w:val="FirstParagraph"/>
      </w:pPr>
      <w:r>
        <w:t xml:space="preserve">Scores the teacher’s mode</w:t>
      </w:r>
      <w:r>
        <w:t xml:space="preserve"> </w:t>
      </w:r>
      <w:r>
        <w:rPr>
          <w:b/>
          <w:bCs/>
        </w:rPr>
        <w:t xml:space="preserve">means</w:t>
      </w:r>
      <w:r>
        <w:t xml:space="preserve"> </w:t>
      </w:r>
      <w:r>
        <w:rPr>
          <w:rStyle w:val="VerbatimChar"/>
        </w:rPr>
        <w:t xml:space="preserve">μ_T</w:t>
      </w:r>
      <w:r>
        <w:t xml:space="preserve"> </w:t>
      </w:r>
      <w:r>
        <w:t xml:space="preserve">as point targets, weighted by teacher</w:t>
      </w:r>
      <w:r>
        <w:t xml:space="preserve"> </w:t>
      </w:r>
      <w:r>
        <w:t xml:space="preserve">confidence</w:t>
      </w:r>
      <w:r>
        <w:t xml:space="preserve"> </w:t>
      </w:r>
      <w:r>
        <w:rPr>
          <w:rStyle w:val="VerbatimChar"/>
        </w:rPr>
        <w:t xml:space="preserve">π_T</w:t>
      </w:r>
      <w:r>
        <w:t xml:space="preserve">;</w:t>
      </w:r>
      <w:r>
        <w:t xml:space="preserve"> </w:t>
      </w:r>
      <w:r>
        <w:rPr>
          <w:b/>
          <w:bCs/>
        </w:rPr>
        <w:t xml:space="preserve">discards the teacher scales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L_KD = − (1/HD) · Σ_f π_T(f) · log p_student( μ_T(f) )</w:t>
      </w:r>
    </w:p>
    <w:p>
      <w:pPr>
        <w:pStyle w:val="FirstParagraph"/>
      </w:pPr>
      <w:r>
        <w:t xml:space="preserve">Maximising density</w:t>
      </w:r>
      <w:r>
        <w:t xml:space="preserve"> </w:t>
      </w:r>
      <w:r>
        <w:rPr>
          <w:i/>
          <w:iCs/>
        </w:rPr>
        <w:t xml:space="preserve">at the mean points</w:t>
      </w:r>
      <w:r>
        <w:t xml:space="preserve"> </w:t>
      </w:r>
      <w:r>
        <w:t xml:space="preserve">is achieved by</w:t>
      </w:r>
      <w:r>
        <w:t xml:space="preserve"> </w:t>
      </w:r>
      <w:r>
        <w:rPr>
          <w:b/>
          <w:bCs/>
        </w:rPr>
        <w:t xml:space="preserve">shrinking the student’s</w:t>
      </w:r>
      <w:r>
        <w:rPr>
          <w:b/>
          <w:bCs/>
        </w:rPr>
        <w:t xml:space="preserve"> </w:t>
      </w:r>
      <w:r>
        <w:rPr>
          <w:b/>
          <w:bCs/>
        </w:rPr>
        <w:t xml:space="preserve">Laplace scales</w:t>
      </w:r>
      <w:r>
        <w:t xml:space="preserve"> </w:t>
      </w:r>
      <w:r>
        <w:t xml:space="preserve">→ the student becomes</w:t>
      </w:r>
      <w:r>
        <w:t xml:space="preserve"> </w:t>
      </w:r>
      <w:r>
        <w:rPr>
          <w:b/>
          <w:bCs/>
        </w:rPr>
        <w:t xml:space="preserve">over-confident</w:t>
      </w:r>
      <w:r>
        <w:t xml:space="preserve">. Good best-of-K geometry,</w:t>
      </w:r>
      <w:r>
        <w:t xml:space="preserve"> </w:t>
      </w:r>
      <w:r>
        <w:t xml:space="preserve">degraded full-distribution calibration.</w:t>
      </w:r>
    </w:p>
    <w:bookmarkEnd w:id="19"/>
    <w:bookmarkStart w:id="20" w:name="Xbfc2330b97bc871592c877b046627f10435ae2a"/>
    <w:p>
      <w:pPr>
        <w:pStyle w:val="Heading3"/>
      </w:pPr>
      <w:r>
        <w:t xml:space="preserve">v2 — distribution-matching distillation (</w:t>
      </w:r>
      <w:r>
        <w:rPr>
          <w:rStyle w:val="VerbatimChar"/>
        </w:rPr>
        <w:t xml:space="preserve">--kd_mode dist</w:t>
      </w:r>
      <w:r>
        <w:t xml:space="preserve">)</w:t>
      </w:r>
    </w:p>
    <w:p>
      <w:pPr>
        <w:pStyle w:val="FirstParagraph"/>
      </w:pPr>
      <w:r>
        <w:t xml:space="preserve">Draws Monte-Carlo Laplace</w:t>
      </w:r>
      <w:r>
        <w:t xml:space="preserve"> </w:t>
      </w:r>
      <w:r>
        <w:rPr>
          <w:b/>
          <w:bCs/>
        </w:rPr>
        <w:t xml:space="preserve">samples</w:t>
      </w:r>
      <w:r>
        <w:t xml:space="preserve"> </w:t>
      </w:r>
      <w:r>
        <w:t xml:space="preserve">from each teacher mode (using the teacher</w:t>
      </w:r>
      <w:r>
        <w:t xml:space="preserve"> </w:t>
      </w:r>
      <w:r>
        <w:t xml:space="preserve">scales</w:t>
      </w:r>
      <w:r>
        <w:t xml:space="preserve"> </w:t>
      </w:r>
      <w:r>
        <w:rPr>
          <w:rStyle w:val="VerbatimChar"/>
        </w:rPr>
        <w:t xml:space="preserve">b_T</w:t>
      </w:r>
      <w:r>
        <w:t xml:space="preserve">) and scores those under the student mixture:</w:t>
      </w:r>
    </w:p>
    <w:p>
      <w:pPr>
        <w:pStyle w:val="SourceCode"/>
      </w:pPr>
      <w:r>
        <w:rPr>
          <w:rStyle w:val="VerbatimChar"/>
        </w:rPr>
        <w:t xml:space="preserve">L_KD = − (1/HD) · Σ_f π_T(f) · E_{y ~ Laplace(μ_T_f, b_T_f)}[ log p_student(y) ]</w:t>
      </w:r>
    </w:p>
    <w:p>
      <w:pPr>
        <w:pStyle w:val="FirstParagraph"/>
      </w:pPr>
      <w:r>
        <w:t xml:space="preserve">The student must now cover the teacher’s</w:t>
      </w:r>
      <w:r>
        <w:t xml:space="preserve"> </w:t>
      </w:r>
      <w:r>
        <w:rPr>
          <w:b/>
          <w:bCs/>
        </w:rPr>
        <w:t xml:space="preserve">spread</w:t>
      </w:r>
      <w:r>
        <w:t xml:space="preserve">, so collapsing its scales no</w:t>
      </w:r>
      <w:r>
        <w:t xml:space="preserve"> </w:t>
      </w:r>
      <w:r>
        <w:t xml:space="preserve">longer minimises the loss — the teacher’s uncertainty is transferred and calibration</w:t>
      </w:r>
      <w:r>
        <w:t xml:space="preserve"> </w:t>
      </w:r>
      <w:r>
        <w:t xml:space="preserve">is restored.</w:t>
      </w:r>
      <w:r>
        <w:t xml:space="preserve"> </w:t>
      </w:r>
      <w:r>
        <w:rPr>
          <w:b/>
          <w:bCs/>
        </w:rPr>
        <w:t xml:space="preserve">v2 reduces exactly to v1 in the zero-variance limit</w:t>
      </w:r>
      <w:r>
        <w:t xml:space="preserve"> </w:t>
      </w:r>
      <w:r>
        <w:t xml:space="preserve">(</w:t>
      </w:r>
      <w:r>
        <w:rPr>
          <w:rStyle w:val="VerbatimChar"/>
        </w:rPr>
        <w:t xml:space="preserve">b_T→0</w:t>
      </w:r>
      <w:r>
        <w:t xml:space="preserve">); it is</w:t>
      </w:r>
      <w:r>
        <w:t xml:space="preserve"> </w:t>
      </w:r>
      <w:r>
        <w:t xml:space="preserve">the strict generalisation that adds the discarded scale information back in.</w:t>
      </w:r>
    </w:p>
    <w:p>
      <w:pPr>
        <w:pStyle w:val="BlockText"/>
      </w:pPr>
      <w:r>
        <w:t xml:space="preserve">⚠️ λ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directly comparable across v1 and v2: the loss magnitude differs at</w:t>
      </w:r>
      <w:r>
        <w:t xml:space="preserve"> </w:t>
      </w:r>
      <w:r>
        <w:t xml:space="preserve">the same λ, so the same nominal λ is a different effective KD strength. Compare each</w:t>
      </w:r>
      <w:r>
        <w:t xml:space="preserve"> </w:t>
      </w:r>
      <w:r>
        <w:t xml:space="preserve">loss at its own optimum, or as an explicit</w:t>
      </w:r>
      <w:r>
        <w:t xml:space="preserve"> </w:t>
      </w:r>
      <w:r>
        <w:t xml:space="preserve">“drop-in swap at fixed λ”</w:t>
      </w:r>
      <w:r>
        <w:t xml:space="preserve"> </w:t>
      </w:r>
      <w:r>
        <w:t xml:space="preserve">with that</w:t>
      </w:r>
      <w:r>
        <w:t xml:space="preserve"> </w:t>
      </w:r>
      <w:r>
        <w:t xml:space="preserve">caveat stated.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9bc9198d3ef7027aceb851503a677b6b61032d3"/>
    <w:p>
      <w:pPr>
        <w:pStyle w:val="Heading2"/>
      </w:pPr>
      <w:r>
        <w:t xml:space="preserve">5. KEY FINDING — v1 trades calibration for accuracy (full data)</w:t>
      </w:r>
    </w:p>
    <w:p>
      <w:pPr>
        <w:pStyle w:val="FirstParagraph"/>
      </w:pPr>
      <w:r>
        <w:t xml:space="preserve">Same KD harness/recipe, only</w:t>
      </w:r>
      <w:r>
        <w:t xml:space="preserve"> </w:t>
      </w:r>
      <w:r>
        <w:rPr>
          <w:rStyle w:val="VerbatimChar"/>
        </w:rPr>
        <w:t xml:space="preserve">λ_kl</w:t>
      </w:r>
      <w:r>
        <w:t xml:space="preserve"> </w:t>
      </w:r>
      <w:r>
        <w:t xml:space="preserve">changes. Canonical full-data checkpoints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lkl0.0</w:t>
      </w:r>
      <w:r>
        <w:t xml:space="preserve"> </w:t>
      </w:r>
      <w:r>
        <w:t xml:space="preserve">ep46,</w:t>
      </w:r>
      <w:r>
        <w:t xml:space="preserve"> </w:t>
      </w:r>
      <w:r>
        <w:rPr>
          <w:rStyle w:val="VerbatimChar"/>
        </w:rPr>
        <w:t xml:space="preserve">lkl0.5</w:t>
      </w:r>
      <w:r>
        <w:t xml:space="preserve"> </w:t>
      </w:r>
      <w:r>
        <w:t xml:space="preserve">ep62),</w:t>
      </w:r>
      <w:r>
        <w:t xml:space="preserve"> </w:t>
      </w:r>
      <w:r>
        <w:rPr>
          <w:rStyle w:val="VerbatimChar"/>
        </w:rPr>
        <w:t xml:space="preserve">eval.py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λ=0 (No KD)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 λ=0.5 (Mean)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minFDE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brier_minFDE (official)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−5.05%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mixNLL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calib_err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5.0× worse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b_scale</w:t>
            </w:r>
            <w:r>
              <w:t xml:space="preserve"> </w:t>
            </w:r>
            <w:r>
              <w:t xml:space="preserve">(sharpness)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−30.6%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(shrinkage)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cov_p90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over-confident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central finding:</w:t>
      </w:r>
      <w:r>
        <w:t xml:space="preserve"> </w:t>
      </w:r>
      <w:r>
        <w:t xml:space="preserve">at full convergence, v1 KD improves geometry by ~5–9% but</w:t>
      </w:r>
      <w:r>
        <w:t xml:space="preserve"> </w:t>
      </w:r>
      <w:r>
        <w:rPr>
          <w:b/>
          <w:bCs/>
        </w:rPr>
        <w:t xml:space="preserve">degrades full-distribution calibration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mixNLL</w:t>
      </w:r>
      <w:r>
        <w:t xml:space="preserve"> </w:t>
      </w:r>
      <w:r>
        <w:t xml:space="preserve">+20.6%,</w:t>
      </w:r>
      <w:r>
        <w:t xml:space="preserve"> </w:t>
      </w:r>
      <w:r>
        <w:rPr>
          <w:rStyle w:val="VerbatimChar"/>
        </w:rPr>
        <w:t xml:space="preserve">calib_err</w:t>
      </w:r>
      <w:r>
        <w:t xml:space="preserve"> </w:t>
      </w:r>
      <w:r>
        <w:t xml:space="preserve">5×, and the</w:t>
      </w:r>
      <w:r>
        <w:t xml:space="preserve"> </w:t>
      </w:r>
      <w:r>
        <w:t xml:space="preserve">predicted 90% interval captures only</w:t>
      </w:r>
      <w:r>
        <w:t xml:space="preserve"> </w:t>
      </w:r>
      <w:r>
        <w:rPr>
          <w:b/>
          <w:bCs/>
        </w:rPr>
        <w:t xml:space="preserve">75%</w:t>
      </w:r>
      <w:r>
        <w:t xml:space="preserve"> </w:t>
      </w:r>
      <w:r>
        <w:t xml:space="preserve">of ground-truth points (vs 90% for</w:t>
      </w:r>
      <w:r>
        <w:t xml:space="preserve"> </w:t>
      </w:r>
      <w:r>
        <w:t xml:space="preserve">no-KD). The no-KD baseline is</w:t>
      </w:r>
      <w:r>
        <w:t xml:space="preserve"> </w:t>
      </w:r>
      <w:r>
        <w:rPr>
          <w:i/>
          <w:iCs/>
        </w:rPr>
        <w:t xml:space="preserve">already well-calibrated</w:t>
      </w:r>
      <w:r>
        <w:t xml:space="preserve"> </w:t>
      </w:r>
      <w:r>
        <w:t xml:space="preserve">(cov_p90 ≈ 0.90), so v1 KD</w:t>
      </w:r>
      <w:r>
        <w:t xml:space="preserve"> </w:t>
      </w:r>
      <w:r>
        <w:rPr>
          <w:b/>
          <w:bCs/>
        </w:rPr>
        <w:t xml:space="preserve">trades calibration away to buy accuracy</w:t>
      </w:r>
      <w:r>
        <w:t xml:space="preserve">. v2’s job is to keep the accuracy and</w:t>
      </w:r>
      <w:r>
        <w:t xml:space="preserve"> </w:t>
      </w:r>
      <w:r>
        <w:t xml:space="preserve">recover the calibration.</w:t>
      </w:r>
    </w:p>
    <w:p>
      <w:pPr>
        <w:pStyle w:val="BlockText"/>
      </w:pPr>
      <w:r>
        <w:rPr>
          <w:b/>
          <w:bCs/>
        </w:rPr>
        <w:t xml:space="preserve">Thesis statement:</w:t>
      </w:r>
      <w:r>
        <w:t xml:space="preserve"> </w:t>
      </w:r>
      <w:r>
        <w:rPr>
          <w:i/>
          <w:iCs/>
        </w:rPr>
        <w:t xml:space="preserve">Mean-target mixture distillation improves geometric accuracy</w:t>
      </w:r>
      <w:r>
        <w:rPr>
          <w:i/>
          <w:iCs/>
        </w:rPr>
        <w:t xml:space="preserve"> </w:t>
      </w:r>
      <w:r>
        <w:rPr>
          <w:i/>
          <w:iCs/>
        </w:rPr>
        <w:t xml:space="preserve">and the official Argoverse ranking metric (brier-minFDE) but degrades</w:t>
      </w:r>
      <w:r>
        <w:rPr>
          <w:i/>
          <w:iCs/>
        </w:rPr>
        <w:t xml:space="preserve"> </w:t>
      </w:r>
      <w:r>
        <w:rPr>
          <w:i/>
          <w:iCs/>
        </w:rPr>
        <w:t xml:space="preserve">full-distribution calibration (mixNLL), because it transfers the teacher’s mode</w:t>
      </w:r>
      <w:r>
        <w:rPr>
          <w:i/>
          <w:iCs/>
        </w:rPr>
        <w:t xml:space="preserve"> </w:t>
      </w:r>
      <w:r>
        <w:rPr>
          <w:i/>
          <w:iCs/>
        </w:rPr>
        <w:t xml:space="preserve">locations and weights while discarding its predictive variance, producing</w:t>
      </w:r>
      <w:r>
        <w:rPr>
          <w:i/>
          <w:iCs/>
        </w:rPr>
        <w:t xml:space="preserve"> </w:t>
      </w:r>
      <w:r>
        <w:rPr>
          <w:i/>
          <w:iCs/>
        </w:rPr>
        <w:t xml:space="preserve">overconfident student mixtures.</w:t>
      </w:r>
    </w:p>
    <w:p>
      <w:r>
        <w:pict>
          <v:rect style="width:0;height:1.5pt" o:hralign="center" o:hrstd="t" o:hr="t"/>
        </w:pict>
      </w:r>
    </w:p>
    <w:bookmarkEnd w:id="22"/>
    <w:bookmarkStart w:id="24" w:name="X91d554c69ba25cad8445deba82a9909cd693e81"/>
    <w:p>
      <w:pPr>
        <w:pStyle w:val="Heading2"/>
      </w:pPr>
      <w:r>
        <w:t xml:space="preserve">6. KEY FINDING — the mechanism is scale shrinkage, not mode collapse</w:t>
      </w:r>
    </w:p>
    <w:p>
      <w:pPr>
        <w:pStyle w:val="FirstParagraph"/>
      </w:pPr>
      <w:r>
        <w:t xml:space="preserve">The over-confidence lives</w:t>
      </w:r>
      <w:r>
        <w:t xml:space="preserve"> </w:t>
      </w:r>
      <w:r>
        <w:rPr>
          <w:b/>
          <w:bCs/>
        </w:rPr>
        <w:t xml:space="preserve">entirely in the per-mode Laplace scales</w:t>
      </w:r>
      <w:r>
        <w:t xml:space="preserve">, not in</w:t>
      </w:r>
      <w:r>
        <w:t xml:space="preserve"> </w:t>
      </w:r>
      <w:r>
        <w:t xml:space="preserve">mixture-weight collapse.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λ=0.0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λ=0.5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b_scale</w:t>
            </w:r>
            <w:r>
              <w:t xml:space="preserve"> </w:t>
            </w:r>
            <w:r>
              <w:t xml:space="preserve">(chosen mode)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0.3021</w:t>
            </w:r>
          </w:p>
        </w:tc>
        <w:tc>
          <w:tcPr/>
          <w:p>
            <w:pPr>
              <w:pStyle w:val="Compact"/>
            </w:pPr>
            <w:r>
              <w:t xml:space="preserve">✅ −30.6% (smoking gun)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b_scale_all (all modes)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0.3387</w:t>
            </w:r>
          </w:p>
        </w:tc>
        <w:tc>
          <w:tcPr/>
          <w:p>
            <w:pPr>
              <w:pStyle w:val="Compact"/>
            </w:pPr>
            <w:r>
              <w:t xml:space="preserve">✅ −32.1%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calib_err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</w:pPr>
            <w:r>
              <w:t xml:space="preserve">✅ 5.0× worse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pi_entropy (mode-weight)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1.7579</w:t>
            </w:r>
          </w:p>
        </w:tc>
        <w:tc>
          <w:tcPr/>
          <w:p>
            <w:pPr>
              <w:pStyle w:val="Compact"/>
            </w:pPr>
            <w:r>
              <w:t xml:space="preserve">❌ ~equal —</w:t>
            </w:r>
            <w:r>
              <w:t xml:space="preserve"> </w:t>
            </w:r>
            <w:r>
              <w:rPr>
                <w:b/>
                <w:bCs/>
              </w:rPr>
              <w:t xml:space="preserve">no collapse</w:t>
            </w:r>
          </w:p>
        </w:tc>
      </w:tr>
    </w:tbl>
    <w:p>
      <w:pPr>
        <w:pStyle w:val="BodyText"/>
      </w:pPr>
      <w:r>
        <w:t xml:space="preserve">Reliability curve (empirical coverage vs nominal</w:t>
      </w:r>
      <w:r>
        <w:t xml:space="preserve"> </w:t>
      </w:r>
      <w:r>
        <w:rPr>
          <w:rStyle w:val="VerbatimChar"/>
        </w:rPr>
        <w:t xml:space="preserve">p</w:t>
      </w:r>
      <w:r>
        <w:t xml:space="preserve">) — under-covered at every level: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nominal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λ=0.0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λ=0.5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 diversity (independent corroboration)</w:t>
      </w:r>
      <w:r>
        <w:t xml:space="preserve"> </w:t>
      </w:r>
      <w:r>
        <w:t xml:space="preserve">—</w:t>
      </w:r>
      <w:r>
        <w:t xml:space="preserve"> </w:t>
      </w:r>
      <w:hyperlink r:id="rId23">
        <w:r>
          <w:rPr>
            <w:rStyle w:val="VerbatimChar"/>
          </w:rPr>
          <w:t xml:space="preserve">visualisation_other_tests/measure_mode_diversity.py</w:t>
        </w:r>
      </w:hyperlink>
      <w:r>
        <w:t xml:space="preserve">,</w:t>
      </w:r>
      <w:r>
        <w:t xml:space="preserve"> </w:t>
      </w:r>
      <w:r>
        <w:t xml:space="preserve">all 39,472 val scenes, pairwise final-endpoint spread between the 6 modes: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 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kl=0.0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kl=0.5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10.686 (+25%)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90th 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29.511 (+36%)</w:t>
            </w:r>
          </w:p>
        </w:tc>
      </w:tr>
    </w:tbl>
    <w:p>
      <w:pPr>
        <w:pStyle w:val="BodyText"/>
      </w:pPr>
      <w:r>
        <w:t xml:space="preserve">The KD student’s modes are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spread apart, not collapsed — so neither the</w:t>
      </w:r>
      <w:r>
        <w:t xml:space="preserve"> </w:t>
      </w:r>
      <w:r>
        <w:t xml:space="preserve">mixture weights nor the mode geometry collapse. The over-confidence is purely the</w:t>
      </w:r>
      <w:r>
        <w:t xml:space="preserve"> </w:t>
      </w:r>
      <w:r>
        <w:t xml:space="preserve">per-mode scales:</w:t>
      </w:r>
      <w:r>
        <w:t xml:space="preserve"> </w:t>
      </w:r>
      <w:r>
        <w:rPr>
          <w:b/>
          <w:bCs/>
        </w:rPr>
        <w:t xml:space="preserve">“distil means, discard variance”</w:t>
      </w:r>
      <w:r>
        <w:t xml:space="preserve"> </w:t>
      </w:r>
      <w:r>
        <w:t xml:space="preserve">confirmed precisely.</w:t>
      </w:r>
    </w:p>
    <w:p>
      <w:r>
        <w:pict>
          <v:rect style="width:0;height:1.5pt" o:hralign="center" o:hrstd="t" o:hr="t"/>
        </w:pict>
      </w:r>
    </w:p>
    <w:bookmarkEnd w:id="24"/>
    <w:bookmarkStart w:id="28" w:name="v1-λ-dose-response-triage"/>
    <w:p>
      <w:pPr>
        <w:pStyle w:val="Heading2"/>
      </w:pPr>
      <w:r>
        <w:t xml:space="preserve">7. v1 λ dose-response (triage)</w:t>
      </w:r>
    </w:p>
    <w:p>
      <w:pPr>
        <w:pStyle w:val="FirstParagraph"/>
      </w:pPr>
      <w:r>
        <w:t xml:space="preserve">Re-evaluated the four v1 triage checkpoints (25% data, 15 ep, lr=3e-3), each judged</w:t>
      </w:r>
      <w:r>
        <w:t xml:space="preserve"> </w:t>
      </w:r>
      <w:r>
        <w:t xml:space="preserve">on the full val set.</w:t>
      </w:r>
    </w:p>
    <w:p>
      <w:pPr>
        <w:pStyle w:val="CaptionedFigure"/>
      </w:pPr>
      <w:r>
        <w:drawing>
          <wp:inline>
            <wp:extent cx="5334000" cy="1066800"/>
            <wp:effectExtent b="0" l="0" r="0" t="0"/>
            <wp:docPr descr="KD lambda dose-response (v1)" title="" id="26" name="Picture"/>
            <a:graphic>
              <a:graphicData uri="http://schemas.openxmlformats.org/drawingml/2006/picture">
                <pic:pic>
                  <pic:nvPicPr>
                    <pic:cNvPr descr="figures/kd_lambda_sweep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KD lambda dose-response (v1)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minFDE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mixNLL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b_scale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calib_err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π-entropy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1.7573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 shrinkage and calibration damage are monotone in λ</w:t>
      </w:r>
      <w:r>
        <w:t xml:space="preserve"> </w:t>
      </w:r>
      <w:r>
        <w:t xml:space="preserve">(b_scale ↓, calib_err</w:t>
      </w:r>
      <w:r>
        <w:t xml:space="preserve"> </w:t>
      </w:r>
      <w:r>
        <w:t xml:space="preserve">↑ at every dose) — confirming the mechanism across the whole λ axis.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Geometry is NOT monotone — it peaks at λ≈0.25.</w:t>
      </w:r>
      <w:r>
        <w:t xml:space="preserve"> </w:t>
      </w:r>
      <w:r>
        <w:t xml:space="preserve">A little KD captures essentially</w:t>
      </w:r>
      <w:r>
        <w:t xml:space="preserve"> </w:t>
      </w:r>
      <w:r>
        <w:t xml:space="preserve">all the displacement gain; more only over-distills.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mode collapse at any dose</w:t>
      </w:r>
      <w:r>
        <w:t xml:space="preserve"> </w:t>
      </w:r>
      <w:r>
        <w:t xml:space="preserve">(π-entropy flat / slightly rising).</w:t>
      </w:r>
    </w:p>
    <w:p>
      <w:pPr>
        <w:pStyle w:val="BlockText"/>
      </w:pPr>
      <w:r>
        <w:t xml:space="preserve">Caveat: on triage,</w:t>
      </w:r>
      <w:r>
        <w:t xml:space="preserve"> </w:t>
      </w:r>
      <w:r>
        <w:rPr>
          <w:rStyle w:val="VerbatimChar"/>
        </w:rPr>
        <w:t xml:space="preserve">mixNLL</w:t>
      </w:r>
      <w:r>
        <w:t xml:space="preserve"> </w:t>
      </w:r>
      <w:r>
        <w:t xml:space="preserve">is U-shaped (min at λ=0.25) because the undertrained</w:t>
      </w:r>
      <w:r>
        <w:t xml:space="preserve"> </w:t>
      </w:r>
      <w:r>
        <w:t xml:space="preserve">λ=0 baseline makes KD’s geometry gain dominate;</w:t>
      </w:r>
      <w:r>
        <w:t xml:space="preserve"> </w:t>
      </w:r>
      <w:r>
        <w:rPr>
          <w:b/>
          <w:bCs/>
        </w:rPr>
        <w:t xml:space="preserve">on full data this sign flips</w:t>
      </w:r>
      <w:r>
        <w:t xml:space="preserve"> </w:t>
      </w:r>
      <w:r>
        <w:t xml:space="preserve">(λ=0.5 mixNLL worse than λ=0, §5). Trust the geometry-agnostic diagnostics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b_scale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calib_err</w:t>
      </w:r>
      <w:r>
        <w:t xml:space="preserve">, coverage) — those degrade monotonically regardless.</w:t>
      </w:r>
    </w:p>
    <w:p>
      <w:r>
        <w:pict>
          <v:rect style="width:0;height:1.5pt" o:hralign="center" o:hrstd="t" o:hr="t"/>
        </w:pict>
      </w:r>
    </w:p>
    <w:bookmarkEnd w:id="28"/>
    <w:bookmarkStart w:id="30" w:name="v2-distribution-matching-triage-results"/>
    <w:p>
      <w:pPr>
        <w:pStyle w:val="Heading2"/>
      </w:pPr>
      <w:r>
        <w:t xml:space="preserve">8. v2 (distribution-matching) — triage results</w:t>
      </w:r>
    </w:p>
    <w:p>
      <w:pPr>
        <w:pStyle w:val="FirstParagraph"/>
      </w:pPr>
      <w:r>
        <w:t xml:space="preserve">v2</w:t>
      </w:r>
      <w:r>
        <w:t xml:space="preserve"> </w:t>
      </w:r>
      <w:r>
        <w:rPr>
          <w:b/>
          <w:bCs/>
        </w:rPr>
        <w:t xml:space="preserve">beats v1 and shifts the λ optimum upward.</w:t>
      </w:r>
      <w:r>
        <w:t xml:space="preserve"> </w:t>
      </w:r>
      <w:r>
        <w:t xml:space="preserve">Triage (25% data, 15 ep proxy):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minFDE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calib_err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best (kl=0.25)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 kl=0.5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~0.023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 kl=1.0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~0.025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Both v2 operating points</w:t>
      </w:r>
      <w:r>
        <w:t xml:space="preserve"> </w:t>
      </w:r>
      <w:r>
        <w:rPr>
          <w:b/>
          <w:bCs/>
        </w:rPr>
        <w:t xml:space="preserve">beat every v1 run on accuracy</w:t>
      </w:r>
      <w:r>
        <w:t xml:space="preserve"> </w:t>
      </w:r>
      <w:r>
        <w:t xml:space="preserve">while keeping</w:t>
      </w:r>
      <w:r>
        <w:t xml:space="preserve"> </w:t>
      </w:r>
      <w:r>
        <w:rPr>
          <w:rStyle w:val="VerbatimChar"/>
        </w:rPr>
        <w:t xml:space="preserve">calib_err</w:t>
      </w:r>
      <w:r>
        <w:t xml:space="preserve"> </w:t>
      </w:r>
      <w:r>
        <w:t xml:space="preserve">near the well-calibrated no-KD baseline (~0.024) — i.e. v2 recovers</w:t>
      </w:r>
      <w:r>
        <w:t xml:space="preserve"> </w:t>
      </w:r>
      <w:r>
        <w:t xml:space="preserve">the calibration v1 sacrificed.</w:t>
      </w:r>
    </w:p>
    <w:p>
      <w:pPr>
        <w:pStyle w:val="Compact"/>
        <w:numPr>
          <w:ilvl w:val="0"/>
          <w:numId w:val="1003"/>
        </w:numPr>
      </w:pPr>
      <w:r>
        <w:t xml:space="preserve">Between v2 kl=0.5 and kl=1.0: kl=1.0 is marginally sharper on accuracy</w:t>
      </w:r>
      <w:r>
        <w:t xml:space="preserve"> </w:t>
      </w:r>
      <w:r>
        <w:t xml:space="preserve">(minMR/minFDE), kl=0.5 is slightly better calibrated; the accuracy gap is within</w:t>
      </w:r>
      <w:r>
        <w:t xml:space="preserve"> </w:t>
      </w:r>
      <w:r>
        <w:t xml:space="preserve">seed noise. (kl=0.75 not worth testing — flat region.)</w:t>
      </w:r>
    </w:p>
    <w:p>
      <w:pPr>
        <w:pStyle w:val="FirstParagraph"/>
      </w:pPr>
      <w:r>
        <w:rPr>
          <w:b/>
          <w:bCs/>
        </w:rPr>
        <w:t xml:space="preserve">Full-data v2 confirmation is in progress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KD/run_full_v2.sh</w:t>
      </w:r>
      <w:r>
        <w:t xml:space="preserve">, kl=0.5, 64 ep) to</w:t>
      </w:r>
      <w:r>
        <w:t xml:space="preserve"> </w:t>
      </w:r>
      <w:r>
        <w:t xml:space="preserve">verify v2 keeps v1’s accuracy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recovers baseline calibration at full scale.</w:t>
      </w:r>
    </w:p>
    <w:bookmarkStart w:id="29" w:name="X573c3ca65c075b22f22f505687f17efa8425403"/>
    <w:p>
      <w:pPr>
        <w:pStyle w:val="Heading3"/>
      </w:pPr>
      <w:r>
        <w:t xml:space="preserve">Teacher gold-standard (the v2 calibration target)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(full data)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b_scale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calib_err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cov@p90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mixNLL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kl=0.0 (well-cal)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kl=0.5 (v1 KD)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teacher HiVT-128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21.05</w:t>
            </w:r>
          </w:p>
        </w:tc>
      </w:tr>
    </w:tbl>
    <w:p>
      <w:pPr>
        <w:pStyle w:val="BodyText"/>
      </w:pPr>
      <w:r>
        <w:t xml:space="preserve">The teacher is</w:t>
      </w:r>
      <w:r>
        <w:t xml:space="preserve"> </w:t>
      </w:r>
      <w:r>
        <w:rPr>
          <w:i/>
          <w:iCs/>
        </w:rPr>
        <w:t xml:space="preserve">sharper</w:t>
      </w:r>
      <w:r>
        <w:t xml:space="preserve"> </w:t>
      </w:r>
      <w:r>
        <w:t xml:space="preserve">than the well-calibrated student (b 0.358 &lt; 0.436) yet stays</w:t>
      </w:r>
      <w:r>
        <w:t xml:space="preserve"> </w:t>
      </w:r>
      <w:r>
        <w:t xml:space="preserve">calibrated — because its modes are</w:t>
      </w:r>
      <w:r>
        <w:t xml:space="preserve"> </w:t>
      </w:r>
      <w:r>
        <w:rPr>
          <w:i/>
          <w:iCs/>
        </w:rPr>
        <w:t xml:space="preserve">accurate enough to earn</w:t>
      </w:r>
      <w:r>
        <w:t xml:space="preserve"> </w:t>
      </w:r>
      <w:r>
        <w:t xml:space="preserve">small scales. The v1</w:t>
      </w:r>
      <w:r>
        <w:t xml:space="preserve"> </w:t>
      </w:r>
      <w:r>
        <w:t xml:space="preserve">student over-shot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teacher (b 0.302). So</w:t>
      </w:r>
      <w:r>
        <w:t xml:space="preserve"> </w:t>
      </w:r>
      <w:r>
        <w:t xml:space="preserve">“match the teacher’s b”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right v2 target: the less-accurate student needs a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b than the teacher to</w:t>
      </w:r>
      <w:r>
        <w:t xml:space="preserve"> </w:t>
      </w:r>
      <w:r>
        <w:t xml:space="preserve">be calibrated.</w:t>
      </w:r>
      <w:r>
        <w:t xml:space="preserve"> </w:t>
      </w:r>
      <w:r>
        <w:rPr>
          <w:b/>
          <w:bCs/>
        </w:rPr>
        <w:t xml:space="preserve">Pre-registered v2 expectation: b ↑ toward the teacher, calib_err ↓</w:t>
      </w:r>
      <w:r>
        <w:rPr>
          <w:b/>
          <w:bCs/>
        </w:rPr>
        <w:t xml:space="preserve"> </w:t>
      </w:r>
      <w:r>
        <w:rPr>
          <w:b/>
          <w:bCs/>
        </w:rPr>
        <w:t xml:space="preserve">toward ~0.05 — partial, not necessarily full, recovery</w:t>
      </w:r>
      <w:r>
        <w:t xml:space="preserve"> </w:t>
      </w:r>
      <w:r>
        <w:t xml:space="preserve">(mixNLL 21.05 is the</w:t>
      </w:r>
      <w:r>
        <w:t xml:space="preserve"> </w:t>
      </w:r>
      <w:r>
        <w:t xml:space="preserve">teacher’s ceiling; no emb32 student will reach it).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efficiency-axis-hardware-motivation"/>
    <w:p>
      <w:pPr>
        <w:pStyle w:val="Heading2"/>
      </w:pPr>
      <w:r>
        <w:t xml:space="preserve">9. Efficiency axis (hardware motivation)</w:t>
      </w:r>
    </w:p>
    <w:p>
      <w:pPr>
        <w:pStyle w:val="FirstParagraph"/>
      </w:pPr>
      <w:hyperlink r:id="rId31">
        <w:r>
          <w:rPr>
            <w:rStyle w:val="VerbatimChar"/>
          </w:rPr>
          <w:t xml:space="preserve">KD/profile_efficiency.py</w:t>
        </w:r>
      </w:hyperlink>
      <w:r>
        <w:t xml:space="preserve">. Parameter counts</w:t>
      </w:r>
      <w:r>
        <w:t xml:space="preserve"> </w:t>
      </w:r>
      <w:r>
        <w:t xml:space="preserve">(architecture-determined, exact):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embed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 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teacher-128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2,559,993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(1×)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student-32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170,073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6.6% (15× smaller)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45,929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1.8% (55× smaller)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Accuracy recovered at 6.6% of the parameters:</w:t>
      </w:r>
      <w:r>
        <w:t xml:space="preserve"> </w:t>
      </w:r>
      <w:r>
        <w:t xml:space="preserve">v1 KD narrows the</w:t>
      </w:r>
      <w:r>
        <w:t xml:space="preserve"> </w:t>
      </w:r>
      <w:r>
        <w:t xml:space="preserve">HiVT-32→HiVT-64 minFDE gap by ~38% at zero inference cost; KD kl=0.5 beats the</w:t>
      </w:r>
      <w:r>
        <w:t xml:space="preserve"> </w:t>
      </w:r>
      <w:r>
        <w:t xml:space="preserve">original standalone HiVT-32 (minFDE −4.8%).</w:t>
      </w:r>
    </w:p>
    <w:p>
      <w:pPr>
        <w:pStyle w:val="BlockText"/>
      </w:pPr>
      <w:r>
        <w:t xml:space="preserve">⏳</w:t>
      </w:r>
      <w:r>
        <w:t xml:space="preserve"> </w:t>
      </w:r>
      <w:r>
        <w:rPr>
          <w:b/>
          <w:bCs/>
        </w:rPr>
        <w:t xml:space="preserve">Latency + peak-memory pending a clean measurement</w:t>
      </w:r>
      <w:r>
        <w:t xml:space="preserve"> </w:t>
      </w:r>
      <w:r>
        <w:t xml:space="preserve">(deferred until the GPU is</w:t>
      </w:r>
      <w:r>
        <w:t xml:space="preserve"> </w:t>
      </w:r>
      <w:r>
        <w:t xml:space="preserve">free — measuring during the v2 training run gives contended, unusable numbers; a</w:t>
      </w:r>
      <w:r>
        <w:t xml:space="preserve"> </w:t>
      </w:r>
      <w:r>
        <w:t xml:space="preserve">first contended CPU pass already showed an impossible row). Param counts are the</w:t>
      </w:r>
      <w:r>
        <w:t xml:space="preserve"> </w:t>
      </w:r>
      <w:r>
        <w:t xml:space="preserve">reliable cost numbers for now.</w:t>
      </w:r>
    </w:p>
    <w:p>
      <w:r>
        <w:pict>
          <v:rect style="width:0;height:1.5pt" o:hralign="center" o:hrstd="t" o:hr="t"/>
        </w:pict>
      </w:r>
    </w:p>
    <w:bookmarkEnd w:id="32"/>
    <w:bookmarkStart w:id="33" w:name="status-next-steps"/>
    <w:p>
      <w:pPr>
        <w:pStyle w:val="Heading2"/>
      </w:pPr>
      <w:r>
        <w:t xml:space="preserve">10. Status &amp; next steps</w:t>
      </w:r>
    </w:p>
    <w:p>
      <w:pPr>
        <w:pStyle w:val="FirstParagraph"/>
      </w:pPr>
      <w:r>
        <w:rPr>
          <w:b/>
          <w:bCs/>
        </w:rPr>
        <w:t xml:space="preserve">Done / confirmed:</w:t>
      </w:r>
      <w:r>
        <w:t xml:space="preserve"> </w:t>
      </w:r>
      <w:r>
        <w:t xml:space="preserve">- Permutation-invariance is empirically justified (§3).</w:t>
      </w:r>
      <w:r>
        <w:t xml:space="preserve"> </w:t>
      </w:r>
      <w:r>
        <w:t xml:space="preserve">- v1 KD: accuracy↑, calibration↓ via scale shrinkage — quantified at full data (§5–6).</w:t>
      </w:r>
      <w:r>
        <w:t xml:space="preserve"> </w:t>
      </w:r>
      <w:r>
        <w:t xml:space="preserve">- v2 (triage): beats v1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recovers calibration (§8).</w:t>
      </w:r>
      <w:r>
        <w:t xml:space="preserve"> </w:t>
      </w:r>
      <w:r>
        <w:t xml:space="preserve">- Param efficiency: 15×/55× smaller (§9).</w:t>
      </w:r>
    </w:p>
    <w:p>
      <w:pPr>
        <w:pStyle w:val="BodyText"/>
      </w:pPr>
      <w:r>
        <w:rPr>
          <w:b/>
          <w:bCs/>
        </w:rPr>
        <w:t xml:space="preserve">In progress / next: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v2 full-data run</w:t>
      </w:r>
      <w:r>
        <w:t xml:space="preserve"> </w:t>
      </w:r>
      <w:r>
        <w:t xml:space="preserve">(kl=0.5, running) — confirm calibration recovery at scale.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HiVT-16 student</w:t>
      </w:r>
      <w:r>
        <w:t xml:space="preserve"> </w:t>
      </w:r>
      <w:r>
        <w:t xml:space="preserve">— does the KD benefit</w:t>
      </w:r>
      <w:r>
        <w:t xml:space="preserve"> </w:t>
      </w:r>
      <w:r>
        <w:rPr>
          <w:i/>
          <w:iCs/>
        </w:rPr>
        <w:t xml:space="preserve">grow</w:t>
      </w:r>
      <w:r>
        <w:t xml:space="preserve"> </w:t>
      </w:r>
      <w:r>
        <w:t xml:space="preserve">as the student shrinks? (Re-triage</w:t>
      </w:r>
      <w:r>
        <w:t xml:space="preserve"> </w:t>
      </w:r>
      <w:r>
        <w:t xml:space="preserve">LR first; keep kl=0 and kl=0.5 arms.) This is the strongest remaining contribution.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Efficiency latency/memory</w:t>
      </w:r>
      <w:r>
        <w:t xml:space="preserve"> </w:t>
      </w:r>
      <w:r>
        <w:t xml:space="preserve">— clean GPU + CPU measurement for the cost frontier.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Seeding</w:t>
      </w:r>
      <w:r>
        <w:t xml:space="preserve"> </w:t>
      </w:r>
      <w:r>
        <w:t xml:space="preserve">— 2–3 seeds on the</w:t>
      </w:r>
      <w:r>
        <w:t xml:space="preserve"> </w:t>
      </w:r>
      <w:r>
        <w:rPr>
          <w:i/>
          <w:iCs/>
        </w:rPr>
        <w:t xml:space="preserve">final</w:t>
      </w:r>
      <w:r>
        <w:t xml:space="preserve"> </w:t>
      </w:r>
      <w:r>
        <w:t xml:space="preserve">chosen config only (not the whole sweep) to</w:t>
      </w:r>
      <w:r>
        <w:t xml:space="preserve"> </w:t>
      </w:r>
      <w:r>
        <w:t xml:space="preserve">make the headline deltas defensible.</w:t>
      </w:r>
    </w:p>
    <w:p>
      <w:pPr>
        <w:pStyle w:val="BodyText"/>
      </w:pPr>
      <w:r>
        <w:rPr>
          <w:b/>
          <w:bCs/>
        </w:rPr>
        <w:t xml:space="preserve">Open question for the supervisor:</w:t>
      </w:r>
      <w:r>
        <w:t xml:space="preserve"> </w:t>
      </w:r>
      <w:r>
        <w:t xml:space="preserve">is this scope (v2 full confirmation + HiVT-16</w:t>
      </w:r>
      <w:r>
        <w:t xml:space="preserve"> </w:t>
      </w:r>
      <w:r>
        <w:t xml:space="preserve">transfer + efficiency frontier + seeding) the right 2-week plan, and is there a</w:t>
      </w:r>
      <w:r>
        <w:t xml:space="preserve"> </w:t>
      </w:r>
      <w:r>
        <w:t xml:space="preserve">defined success metric (pure accuracy vs. calibrated uncertainty) to optimise toward?</w:t>
      </w:r>
    </w:p>
    <w:p>
      <w:r>
        <w:pict>
          <v:rect style="width:0;height:1.5pt" o:hralign="center" o:hrstd="t" o:hr="t"/>
        </w:pict>
      </w:r>
    </w:p>
    <w:bookmarkEnd w:id="33"/>
    <w:bookmarkStart w:id="36" w:name="figure-artifact-index"/>
    <w:p>
      <w:pPr>
        <w:pStyle w:val="Heading2"/>
      </w:pPr>
      <w:r>
        <w:t xml:space="preserve">Figure / artifact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KD/diagnostics/mode_perm_optimal_fde_n500.png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Hungarian mode matching — stable but non-identity correspondence (§3)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KD/diagnostics/mode_perm_greedy_fde_n500.png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greedy/accidental matching — diffuse (§3)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docs/figures/kd_lambda_sweep.png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 λ dose-response, 5 panels (§7)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kd_emb32_kl_comparison.md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tables, glossary, reproduction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W&amp;B: groups</w:t>
            </w:r>
            <w:r>
              <w:t xml:space="preserve"> </w:t>
            </w:r>
            <w:r>
              <w:rPr>
                <w:rStyle w:val="VerbatimChar"/>
              </w:rPr>
              <w:t xml:space="preserve">full-emb32-distv2</w:t>
            </w:r>
            <w:r>
              <w:t xml:space="preserve"> </w:t>
            </w:r>
            <w:r>
              <w:t xml:space="preserve">(v2 full), v1/baseline full runs, triage λ/LR sweeps</w:t>
            </w:r>
          </w:p>
        </w:tc>
        <w:tc>
          <w:tcPr/>
          <w:p>
            <w:pPr>
              <w:pStyle w:val="Compact"/>
            </w:pPr>
            <w:r>
              <w:t xml:space="preserve">training curves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5" Target="media/rId25.png" /><Relationship Type="http://schemas.openxmlformats.org/officeDocument/2006/relationships/hyperlink" Id="rId16" Target="../KD/diagnostics/mode_perm_greedy_fde_n500.png" TargetMode="External" /><Relationship Type="http://schemas.openxmlformats.org/officeDocument/2006/relationships/hyperlink" Id="rId34" Target="../KD/diagnostics/mode_perm_optimal_fde_n500.png" TargetMode="External" /><Relationship Type="http://schemas.openxmlformats.org/officeDocument/2006/relationships/hyperlink" Id="rId18" Target="../KD/kd_loss.py" TargetMode="External" /><Relationship Type="http://schemas.openxmlformats.org/officeDocument/2006/relationships/hyperlink" Id="rId12" Target="../KD/kd_mode_permutation_test.py" TargetMode="External" /><Relationship Type="http://schemas.openxmlformats.org/officeDocument/2006/relationships/hyperlink" Id="rId31" Target="../KD/profile_efficiency.py" TargetMode="External" /><Relationship Type="http://schemas.openxmlformats.org/officeDocument/2006/relationships/hyperlink" Id="rId23" Target="../visualisation_other_tests/measure_mode_diversity.py" TargetMode="External" /><Relationship Type="http://schemas.openxmlformats.org/officeDocument/2006/relationships/hyperlink" Id="rId35" Target="figures/kd_lambda_sweep.png" TargetMode="External" /><Relationship Type="http://schemas.openxmlformats.org/officeDocument/2006/relationships/hyperlink" Id="rId9" Target="kd_emb32_kl_comparis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KD/diagnostics/mode_perm_greedy_fde_n500.png" TargetMode="External" /><Relationship Type="http://schemas.openxmlformats.org/officeDocument/2006/relationships/hyperlink" Id="rId34" Target="../KD/diagnostics/mode_perm_optimal_fde_n500.png" TargetMode="External" /><Relationship Type="http://schemas.openxmlformats.org/officeDocument/2006/relationships/hyperlink" Id="rId18" Target="../KD/kd_loss.py" TargetMode="External" /><Relationship Type="http://schemas.openxmlformats.org/officeDocument/2006/relationships/hyperlink" Id="rId12" Target="../KD/kd_mode_permutation_test.py" TargetMode="External" /><Relationship Type="http://schemas.openxmlformats.org/officeDocument/2006/relationships/hyperlink" Id="rId31" Target="../KD/profile_efficiency.py" TargetMode="External" /><Relationship Type="http://schemas.openxmlformats.org/officeDocument/2006/relationships/hyperlink" Id="rId23" Target="../visualisation_other_tests/measure_mode_diversity.py" TargetMode="External" /><Relationship Type="http://schemas.openxmlformats.org/officeDocument/2006/relationships/hyperlink" Id="rId35" Target="figures/kd_lambda_sweep.png" TargetMode="External" /><Relationship Type="http://schemas.openxmlformats.org/officeDocument/2006/relationships/hyperlink" Id="rId9" Target="kd_emb32_kl_comparis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2026-06-22T11:53:38Z</dcterms:created>
  <dcterms:modified xsi:type="dcterms:W3CDTF">2026-06-22T11:53:38Z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