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**5.- Is the story credible?**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While rare, hospital mix-ups are plausible, and the emotional and physical responses depicted are grounded in postpartum psychology and biology. Some narrative elements verge on melodrama but remain within the bounds of believability.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**6.- Does the text require your participation or cooperation to complete its form and meaning?**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 is emotionally immersive but largely self-contained. It invites empathy rather than demanding interpretive work from the reader.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**7.- Does it propose a new perspective on reality?**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It offers a nuanced, rarely explored angle on postpartum bonding and grief—not with a loss through death or separation, but through a brief mistaken attachment.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**8.- Does it propose a new vision of the genre it uses?**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This is a poignant domestic realist piece with emotional depth, but within familiar genre conventions. It doesn’t radically reshape narrative expectations.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**9.- Does it give an original way of using the language?**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prose is clear, intimate, and emotionally resonant, but stylistically conventional. It favors emotional clarity over linguistic innovation.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179</Words>
  <Characters>1030</Characters>
  <CharactersWithSpaces>1218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2025-08-24T16:09:55Z</dcterms:created>
  <dc:creator/>
  <dc:description/>
  <dc:language>es-MX</dc:language>
  <cp:lastModifiedBy/>
  <dcterms:modified xsi:type="dcterms:W3CDTF">2025-08-24T16:11:02Z</dcterms:modified>
  <cp:revision>2</cp:revision>
  <dc:subject/>
  <dc:title/>
</cp:coreProperties>
</file>