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**10. Does it remind you of another text or book you’ve read?**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It recalls aspects of **Ocean Vuong’s _On Earth We’re Briefly Gorgeous_**, **Armistead Maupin’s _Tales of the City_**, and **YA queer romances like _They Both Die at the End_ by Adam Silvera**, blending intergenerational queer voices with remembrance, love, and community healing.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**11. Would you like to read more texts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Yes—stories that affirm intergenerational queer love, healing through art, and queer joy beyond trauma are increasingly vital. Especially when paired with sincere emotional arcs that explore grief without sensationalizing it.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**12. Would you recommend it?**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Definitely, especially for readers of LGBTQ+ fiction, grief memoirs, queer YA/new adult romance, or contemporary coming-of-age stories. Its affirming worldview, emotional authenticity, and soft optimism make it suitable for a wide audience, especially those navigating identity and loss.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**13.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Yes, to readers who appreciate emotionally rich, LGBTQ+ affirming narratives. It would especially resonate with young queer readers, queer parents and their children, creative writing students, or anyone who has experienced loss and turned to storytelling for healing.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**14. If the last answer was yes, to whom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To a young queer person navigating identity and grief, or to a parent raising a queer child. Also fitting for queer educators, therapists, or anyone who finds strength in emotional transparency and connection through art. This story could belong in both personal and classroom libraries.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Yes.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- **Autostraddle**, **The Rumpus**, and **Electric Literature’s “The Commuter”** often feature queer-centered, emotionally resonant fiction like this.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- **One Story** or **Narrative Magazine** could consider it with structural tightening.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- For YA crossover appeal: **YA anthologies by Big Lucks**, **Catapult**, or **Tin House Open Submissions** would be promising.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 **Foglifter** or **Into the Void** would embrace its LGBTQ+ themes, family narrative, and artistic arc.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**Recommendation Summary:**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story has strong publication potential with **some light trimming to strengthen pacing, refine language, and heighten emotional nuance**. Its vision—of queer joy, grief, and art as inheritance—is vital, resonant, and beautifully rendered.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2</Pages>
  <Words>384</Words>
  <Characters>2182</Characters>
  <CharactersWithSpaces>2568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2025-08-25T03:53:12Z</dcterms:created>
  <dc:creator/>
  <dc:description/>
  <dc:language>es-MX</dc:language>
  <cp:lastModifiedBy/>
  <dcterms:modified xsi:type="dcterms:W3CDTF">2025-08-25T03:54:52Z</dcterms:modified>
  <cp:revision>2</cp:revision>
  <dc:subject/>
  <dc:title/>
</cp:coreProperties>
</file>