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**3 – Neutral**  </w:t>
      </w:r>
    </w:p>
    <w:p>
      <w:pPr>
        <w:pStyle w:val="Normal"/>
        <w:bidi w:val="0"/>
        <w:jc w:val="start"/>
        <w:rPr/>
      </w:pPr>
      <w:r>
        <w:rPr/>
        <w:t>While the emotional core is believable, the cumulative sequence of events—especially the posthumous connection through a found cabin, instant fame, and global recognition—leans toward myth or fable. If read as allegory, it succeeds; if read strictly literally, it may require suspension of disbelief.</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Yes. The story’s emotional and symbolic layers invite interpretive engagement. Readers must recognize metaphor, mythic structure, and thematic resonances (death, artistic calling, memory) that lie beneath the surface-level plot to fully appreciate its impact.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The idea that a stranger’s death can catalyze a lifelong artistic mission that touches others globally is highly original in tone and execution. The story also reimagines legacy and grief through the lens of solitude and art, offering a poetic reframing of how meaning survives mortality.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The story draws from familiar traditions—existential reflection, nature writing, fable-like transformation—without radically innovating the genre. However, its layering of landscape, memory, and creative process gives it fresh emotional scope.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language is often evocative and poetic, but can become overly sentimental or expository. With some careful pruning, it could better balance lyrical prose with narrative momentum. The final sections could benefit from compression and stronger image selection to preserve emotional intensity.</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269</Words>
  <Characters>1528</Characters>
  <CharactersWithSpaces>1799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2025-08-25T04:06:21Z</dcterms:created>
  <dc:creator/>
  <dc:description/>
  <dc:language>es-MX</dc:language>
  <cp:lastModifiedBy/>
  <dcterms:modified xsi:type="dcterms:W3CDTF">2025-08-25T04:07:30Z</dcterms:modified>
  <cp:revision>1</cp:revision>
  <dc:subject/>
  <dc:title/>
</cp:coreProperties>
</file>