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**4 – Agree**  </w:t>
      </w:r>
    </w:p>
    <w:p>
      <w:pPr>
        <w:pStyle w:val="Normal"/>
        <w:bidi w:val="0"/>
        <w:jc w:val="start"/>
        <w:rPr>
          <w:lang w:val="en-US"/>
        </w:rPr>
      </w:pPr>
      <w:r>
        <w:rPr>
          <w:lang w:val="en-US"/>
        </w:rPr>
        <w:t>While the emotional core is highly believable, the arc from struggling newcomer to global literary icon stretches realism slightly—though it’s consistent with the story's fairytale structure. The transformation is uplifting and emotionally satisfying, even if idealized.</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Yes. The story encourages reflection on class, identity, legacy, and societal labels. The intentionally ironic title invites readers to consider entrenched biases. Deeper engagement also amplifies the meaning behind Sarah’s ascent, especially if read allegorically or symbolically.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**3 – Neutral**  </w:t>
      </w:r>
    </w:p>
    <w:p>
      <w:pPr>
        <w:pStyle w:val="Normal"/>
        <w:bidi w:val="0"/>
        <w:jc w:val="start"/>
        <w:rPr>
          <w:lang w:val="en-US"/>
        </w:rPr>
      </w:pPr>
      <w:r>
        <w:rPr>
          <w:lang w:val="en-US"/>
        </w:rPr>
        <w:t>The idea that storytelling empowers marginalized voices is familiar in literary fiction, though still important. The piece reinforces this reality rather than reshaping it—but its message is timely, affirming, and needed.</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The story falls within a long tradition of transformation narratives. While it modernizes the "fairytale" through emphasis on authorship, philanthropy, and intergenerational mentorship, it maintains a familiar structure. Strong execution rather than genre innovation drives its appeal.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language is clear, emotionally rich, and aligned with commercial/literary crossover fiction. While it doesn’t push linguistic boundaries, its voice is consistent, inviting, and accessible—qualities that serve its inspirational tone well.</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246</Words>
  <Characters>1464</Characters>
  <CharactersWithSpaces>1713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2025-08-25T04:18:59Z</dcterms:created>
  <dc:creator/>
  <dc:description/>
  <dc:language>es-MX</dc:language>
  <cp:lastModifiedBy/>
  <dcterms:modified xsi:type="dcterms:W3CDTF">2025-08-25T04:22:02Z</dcterms:modified>
  <cp:revision>2</cp:revision>
  <dc:subject/>
  <dc:title/>
</cp:coreProperties>
</file>