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Laura, recovering from childbirth in a hospital, is mistakenly given the wrong baby to nurse. Despite knowing it's not her son, she bonds deeply with the brown-eyed infant overnight. When the error is discovered, she's devastated by the separation. Returning home to her own blue-eyed baby, she struggles with lingering attachment to the stranger's child. Her milk supply increases from nursing both babies, causing temporary feeding issues. Months pass, and while she loves her son deeply, she continues to carry the memory of the brief, intense connection with the other child.</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the immediate, primal nature of maternal bonding and how it transcends biological connection. It examines the profound emotional impact of brief but intense human connections, the arbitrary nature of family bonds, and the lasting psychological effects of loss—even of something that was never truly ours. The theme also touches on maternal guilt, the universality of a mother's love, and how transformative experiences can permanently alter our emotional landscape.</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**4** (Agree)</w:t>
      </w:r>
    </w:p>
    <w:p>
      <w:pPr>
        <w:pStyle w:val="Normal"/>
        <w:bidi w:val="0"/>
        <w:jc w:val="start"/>
        <w:rPr>
          <w:lang w:val="en-US"/>
        </w:rPr>
      </w:pPr>
      <w:r>
        <w:rPr>
          <w:lang w:val="en-US"/>
        </w:rPr>
      </w:r>
    </w:p>
    <w:p>
      <w:pPr>
        <w:pStyle w:val="Normal"/>
        <w:bidi w:val="0"/>
        <w:jc w:val="start"/>
        <w:rPr>
          <w:lang w:val="en-US"/>
        </w:rPr>
      </w:pPr>
      <w:r>
        <w:rPr>
          <w:lang w:val="en-US"/>
        </w:rPr>
        <w:t>4.- **If the above question was affirmative, Which interpretation is it?**</w:t>
      </w:r>
    </w:p>
    <w:p>
      <w:pPr>
        <w:pStyle w:val="Normal"/>
        <w:bidi w:val="0"/>
        <w:jc w:val="start"/>
        <w:rPr>
          <w:lang w:val="en-US"/>
        </w:rPr>
      </w:pPr>
      <w:r>
        <w:rPr>
          <w:lang w:val="en-US"/>
        </w:rPr>
        <w:t>The story can be read as a metaphor for postpartum emotional complexity—the "wrong baby" representing intrusive thoughts, alternate life paths, or the disconnect some mothers feel with their newborns. It could symbolize the grief of miscarriage or adoption—loving a child you cannot keep. The brown-eyed baby might represent the "otherness" mothers sometimes project onto their children, or the universal fear of loss that accompanies new motherhood. The mix-up serves as a catalyst for exploring deeper anxieties about identity, belonging, and maternal adequacy.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283</Words>
  <Characters>1579</Characters>
  <CharactersWithSpaces>1851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2025-09-07T10:37:01Z</dcterms:created>
  <dc:creator/>
  <dc:description/>
  <dc:language>es-MX</dc:language>
  <cp:lastModifiedBy/>
  <dcterms:modified xsi:type="dcterms:W3CDTF">2025-09-07T10:39:28Z</dcterms:modified>
  <cp:revision>1</cp:revision>
  <dc:subject/>
  <dc:title/>
</cp:coreProperties>
</file>