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A young woman accompanies her terminally ill father Marcus on a seven-day gay cruise. She meets Evan, a writer from New York, and they form an immediate connection. As romance blossoms, she witnesses her father's declining health. On the final night, during a dance party, her father musters strength for one last dance with her before passing away. Years later, she reunites with Evan, they build a life together as writers, continuing her father's legacy of love and acceptance.</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central theme is love's transformative power across different forms—parental, romantic, and self-love. The story explores acceptance, particularly within LGBTQ+ contexts, and how grief can coexist with joy. It examines the legacy of love passed between generations and the idea that authentic living honors those we've lost. The narrative celebrates finding unexpected connections during life's most difficult moments.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cruise serves as a metaphorical journey of self-discovery and acceptance, with the ocean representing life's vastness and uncertainty. The dance becomes a ritual of letting go and embracing change. The father's death during the dance symbolizes passing the torch of authenticity to the next generation. However, these symbolic elements remain fairly surface-level, with the narrative operating primarily as straightforward memoir-style fiction.</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LibreOffice_project/33e196637044ead23f5c3226cde09b47731f7e27</Application>
  <AppVersion>15.0000</AppVersion>
  <Pages>1</Pages>
  <Words>234</Words>
  <Characters>1332</Characters>
  <CharactersWithSpaces>1557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2025-09-08T05:56:22Z</dcterms:created>
  <dc:creator/>
  <dc:description/>
  <dc:language>es-MX</dc:language>
  <cp:lastModifiedBy/>
  <dcterms:modified xsi:type="dcterms:W3CDTF">2025-09-08T06:00:58Z</dcterms:modified>
  <cp:revision>1</cp:revision>
  <dc:subject/>
  <dc:title/>
</cp:coreProperties>
</file>