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Two people having an affair spend their last day together at a Portuguese residency, searching for a beach from a guidebook. They get lost, find the wrong cove, swim separately, and share awkward intimacy. She goes topless; he takes photos. They drive back listening to music, knowing they'll part the next morning for separate trains. The narrative captures their disconnection—he swims far away, she won't join him—and the temporary nature of their relationship, punctuated by mundane tensions over directions and borrowed towels.</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emotional distance within physical intimacy, the transience of affairs, and how temporary relationships create their own small worlds with "signposts and traditions." It examines the gap between desire and reality—wanting something to be more than it is—and the awkward performance of romance between people who don't truly know each other. The recurring motif of missing things (turns, trains, each other's moments) underscores their fundamental disconnection despite attempting closeness.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5</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title and closing meditation on "certain European movies" suggests this affair itself is a performance, artificial and aestheticized. The story functions as meta-commentary on narrative endings and artistic representation of romance. The recurring musical references (Johnny Cash, Bob Dylan) create a soundtrack to something cinematically staged. The woman's inability to remember the story's context mirrors their relationship—memorable fragments without substance. This is life imitating art imitating life, where even genuine moments feel scripted.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262</Words>
  <Characters>1525</Characters>
  <CharactersWithSpaces>1774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2025-09-07T08:58:01Z</dcterms:created>
  <dc:creator/>
  <dc:description/>
  <dc:language>es-MX</dc:language>
  <cp:lastModifiedBy/>
  <dcterms:modified xsi:type="dcterms:W3CDTF">2025-09-07T08:59:40Z</dcterms:modified>
  <cp:revision>1</cp:revision>
  <dc:subject/>
  <dc:title/>
</cp:coreProperties>
</file>