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Readers who appreciate literary fiction exploring class dynamics, particularly those interested in contemporary women's voices. Book club members who enjoy discussing social inequality and mother-in-law relationships. Students studying creative writing or sociology. Anyone who has experienced feeling "not good enough" in social situations or who appreciates nuanced character studies that examine internalized classism and the psychology of seeking approval.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Graywolf Press, Coffee House Press, or Tin House would be excellent fits. These independent literary presses champion diverse voices and publish character-driven fiction examining social issues. Literary magazines like The Paris Review, Ploughshares, or The Southern Review would also be strong candidates. Larger publishers like Knopf or Scribner might consider it for their literary fiction lists, particularly if expanded into a novel or story collection.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201</Words>
  <Characters>1119</Characters>
  <CharactersWithSpaces>1308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2025-09-06T12:47:58Z</dcterms:created>
  <dc:creator/>
  <dc:description/>
  <dc:language>es-MX</dc:language>
  <cp:lastModifiedBy/>
  <dcterms:modified xsi:type="dcterms:W3CDTF">2025-09-06T12:52:51Z</dcterms:modified>
  <cp:revision>1</cp:revision>
  <dc:subject/>
  <dc:title/>
</cp:coreProperties>
</file>