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A narrator observes a still couple outside a medical building, fixated by their intimacy and the woman's curly hair. They follow them home to a brick building, waiting in increasingly surreal rainfall that becomes a flood. Through a window, they watch the man's hand around the woman's neck, her eyes closed. The narrative shifts from realistic voyeurism to dreamlike submersion as the narrator floats in rising water filled with debris, maintaining their obsessive gaze while the couple remains frozen like a photograph.</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explores obsession, voyeurism, and the dangerous boundaries between observation and intrusion. It examines isolation versus connection through the "triangle" metaphor—the narrator as unwanted third point. Themes include sexual violence (suggested by the hand on neck), objectification (woman compared to furniture), and dissociation from reality. The flood represents overwhelming desire or psychological drowning. The burned chair parallels themes of abandonment and destruction, while the medical setting hints at illness or trauma underlying the narrator's behavior.</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5</w:t>
      </w:r>
    </w:p>
    <w:p>
      <w:pPr>
        <w:pStyle w:val="Normal"/>
        <w:bidi w:val="0"/>
        <w:jc w:val="start"/>
        <w:rPr>
          <w:lang w:val="en-US"/>
        </w:rPr>
      </w:pPr>
      <w:r>
        <w:rPr>
          <w:lang w:val="en-US"/>
        </w:rPr>
      </w:r>
    </w:p>
    <w:p>
      <w:pPr>
        <w:pStyle w:val="Normal"/>
        <w:bidi w:val="0"/>
        <w:jc w:val="start"/>
        <w:rPr>
          <w:lang w:val="en-US"/>
        </w:rPr>
      </w:pPr>
      <w:r>
        <w:rPr>
          <w:lang w:val="en-US"/>
        </w:rPr>
        <w:t>4.- **If the above question was affirmative, Which interpretation is it?**</w:t>
      </w:r>
    </w:p>
    <w:p>
      <w:pPr>
        <w:pStyle w:val="Normal"/>
        <w:bidi w:val="0"/>
        <w:jc w:val="start"/>
        <w:rPr>
          <w:lang w:val="en-US"/>
        </w:rPr>
      </w:pPr>
      <w:r>
        <w:rPr>
          <w:lang w:val="en-US"/>
        </w:rPr>
        <w:t>The flood likely represents psychological dissolution or fantasy overtaking reality. The medical building and "activated charcoal" suggest possible overdose or mental health crisis. The frozen tableau of potential violence could be projection or traumatic memory. The "triangle" implies complicated desire—possibly the narrator's identification with either victim or aggressor. The burned chair as "skin" and repeated furniture metaphors suggest dehumanization. The narrative may depict dissociation, where trauma manifests as detached observation of violence, or represents drowning in obsessive thoughts while witnessing/imagining domestic abuse.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277</Words>
  <Characters>1694</Characters>
  <CharactersWithSpaces>1961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2025-09-06T14:01:49Z</dcterms:created>
  <dc:creator/>
  <dc:description/>
  <dc:language>es-MX</dc:language>
  <cp:lastModifiedBy/>
  <dcterms:modified xsi:type="dcterms:W3CDTF">2025-09-06T14:02:29Z</dcterms:modified>
  <cp:revision>2</cp:revision>
  <dc:subject/>
  <dc:title/>
</cp:coreProperties>
</file>