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12.- 4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13.- 4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14.- Readers in Jewish and interfaith communities; book clubs exploring grief, resilience, and faith; clergy, chaplains, and lay leaders; those interested in women’s perspectives on communal trauma and renewal; fans of Chaim Potok–style community narratives.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 JewishFiction.net; Lilith (fiction); Moment Magazine; Tablet (culture/fiction features); The Forward (culture); Image Journal; The Sun; The Kenyon Review; The Common. Their interest in faith, community, and grief-driven literary realism aligns with this story’s themes and audience.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81</Words>
  <Characters>495</Characters>
  <CharactersWithSpaces>579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2025-08-24T20:21:53Z</dcterms:created>
  <dc:creator/>
  <dc:description/>
  <dc:language>es-MX</dc:language>
  <cp:lastModifiedBy/>
  <dcterms:modified xsi:type="dcterms:W3CDTF">2025-08-24T20:23:06Z</dcterms:modified>
  <cp:revision>2</cp:revision>
  <dc:subject/>
  <dc:title/>
</cp:coreProperties>
</file>