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1.- Daniel is haunted by dreams of his ex-wife Rachel and an unused flat. He confides in his partner, Isabel. Finding forgotten keys sparks a memory of their old canoe; they retrieve it and begin paddling together. Canoe trips become a ritual that reconnects them, shifts Daniel from rumination to presence, and loosens the past’s grip. Seasons on lakes and rivers map their resilience and intimacy. They age into a lasting partnership, carrying lessons from water—balance, trust, forward motion—toward grateful, hard-won peace.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2.- Closure and renewal through embodied ritual and nature; water as time and change. The canoe is a vessel for co-regulation, curiosity, recommitment; keys symbolize agency to unlock stuck rooms of memory. Themes include second chances, mindfulness, relational healing after divorce, and how place-based practice (rivers, lakes, seasons) forges identity and intimacy more reliably than nostalgia.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4.- Allegory of integration: keys unlock a psychic door; the canoe is the self; the river is time. Reenacted motion replaces compulsive recall; shared rhythm rewires attachment from loss (Rachel) to presence (Isabel). The “unused flat” is an uninhabited inner room—renovated by embodied practice. Nature as therapist; ritual as therapy; travel as grief alchemy.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197</Words>
  <Characters>1101</Characters>
  <CharactersWithSpaces>1291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2025-08-25T05:20:47Z</dcterms:created>
  <dc:creator/>
  <dc:description/>
  <dc:language>es-MX</dc:language>
  <cp:lastModifiedBy/>
  <dcterms:modified xsi:type="dcterms:W3CDTF">2025-08-25T05:22:01Z</dcterms:modified>
  <cp:revision>2</cp:revision>
  <dc:subject/>
  <dc:title/>
</cp:coreProperties>
</file>