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College students, especially young women navigating identity, ambition, and relationships; book clubs on coming</w:t>
        <w:noBreakHyphen/>
        <w:t>of</w:t>
        <w:noBreakHyphen/>
        <w:t>age; advisors/mentors working with first</w:t>
        <w:noBreakHyphen/>
        <w:t xml:space="preserve">years.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Electric Literature (Recommended Reading); One Story; Joyland; Catapult; The Common.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40</Words>
  <Characters>255</Characters>
  <CharactersWithSpaces>299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2025-08-24T22:37:43Z</dcterms:created>
  <dc:creator/>
  <dc:description/>
  <dc:language>es-MX</dc:language>
  <cp:lastModifiedBy/>
  <dcterms:modified xsi:type="dcterms:W3CDTF">2025-08-24T22:42:28Z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