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Readers drawn to elegiac, nature-steeped fiction; those processing grief; artists/photographers; fans of W. G. Sebald, Peter Matthiessen, or Annie Dillard; museum docents or art-therapy practitioners who value narratives of loss transformed into creative legacy.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Ecotone; The Sun; The Common; Orion; Granta. These outlets favor place-driven, reflective literary fiction where nature, memory, and art interweave.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64</Words>
  <Characters>386</Characters>
  <CharactersWithSpaces>454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2025-08-25T04:09:11Z</dcterms:created>
  <dc:creator/>
  <dc:description/>
  <dc:language>es-MX</dc:language>
  <cp:lastModifiedBy/>
  <dcterms:modified xsi:type="dcterms:W3CDTF">2025-08-25T04:10:39Z</dcterms:modified>
  <cp:revision>1</cp:revision>
  <dc:subject/>
  <dc:title/>
</cp:coreProperties>
</file>