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14.- Book clubs and readers of contemporary women’s fiction; first</w:t>
        <w:noBreakHyphen/>
        <w:t>gen/working</w:t>
        <w:noBreakHyphen/>
        <w:t>class readers navigating class ascent; aspiring writers seeking validation through storytelling; mothers/daughters or in</w:t>
        <w:noBreakHyphen/>
        <w:t>law pairs interested in reconciliation arcs; fans of Taylor Jenkins Reid, Jojo Moyes, or Elizabeth Strout who enjoy uplifting, character</w:t>
        <w:noBreakHyphen/>
        <w:t xml:space="preserve">driven narratives about identity, mentorship, and belonging.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The Sun; One Story (if trimmed); The Common; Joyland; Electric Literature (The Commuter); The Rumpus. For a more literary edit with tighter focus: Ploughshares or The Kenyon Review.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85</Words>
  <Characters>528</Characters>
  <CharactersWithSpaces>617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2025-08-25T04:22:55Z</dcterms:created>
  <dc:creator/>
  <dc:description/>
  <dc:language>es-MX</dc:language>
  <cp:lastModifiedBy/>
  <dcterms:modified xsi:type="dcterms:W3CDTF">2025-08-25T04:24:06Z</dcterms:modified>
  <cp:revision>1</cp:revision>
  <dc:subject/>
  <dc:title/>
</cp:coreProperties>
</file>