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An adult child returns to a small hometown to visit an aging mother; they share food, stories, and routines. After a month’s absence, the child finds the mother gravely ill and keeps vigil in the hospital, reading until she recovers. Seasons pass as they rebuild daily joys. Years later, the mother declines and dies. The narrator remains held by community and memory, walking familiar streets and writing the mother’s story, transforming private grief into lasting remembrance and belonging.</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Enduring filial love; time’s passage; caregiving and role reversal; grief transfigured into gratitude. The story argues that ordinary rituals—pie, armchair, shared reading, walks—compose a life and outlast loss through memory and narrative. Place and community cushion private sorrow, while writing preserves and reanimates the bond. Home becomes both refuge and reliquary, where love’s “returns” accrue across years even as mortality insists.</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w:t>
      </w:r>
      <w:r>
        <w:rPr>
          <w:lang w:val="en-US"/>
        </w:rPr>
        <w:t>Returns” is multivalent: physical return, emotional yield on invested care, and an accounting of a life. The town functions as a memory theatre; objects (pie, book, armchair) act as talismans. The hospital vigil becomes a rite, and writing an elegy that reconstitutes the self post-loss. Seasonal cycles mirror decline and renewal, recasting personal mourning as communal liturgy and suggesting that attention—what we revisit—creates meaning.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242</Words>
  <Characters>1345</Characters>
  <CharactersWithSpaces>1583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2025-08-25T04:44:19Z</dcterms:created>
  <dc:creator/>
  <dc:description/>
  <dc:language>es-MX</dc:language>
  <cp:lastModifiedBy/>
  <dcterms:modified xsi:type="dcterms:W3CDTF">2025-08-25T04:45:26Z</dcterms:modified>
  <cp:revision>2</cp:revision>
  <dc:subject/>
  <dc:title/>
</cp:coreProperties>
</file>