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10.- 4 — Reminiscent of Kazuo Ishiguro’s quiet reckonings with memory, Patrick Modiano’s dreamlike recollections, and Nicole Krauss’s symbolic objects.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11.- 4 — Yes; its restrained psychology and clean symbolism are engaging.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12.- 4 — Recommendable to readers of reflective, character-driven literary fiction.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13.- 3 — Possibly, depending on taste.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14.- To a friend who loves understated, interior fiction; a creative writing student studying motif and symbol; or fans of Ishiguro/Modiano. Book clubs interested in memory, divorce, and renewal would also resonate.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15.- Kenyon Review, The Sun, AGNI, New England Review, The Common, A Public Space, or TriQuarterly; also The Missouri Review or Electric Literature.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LibreOffice/25.2.4.3$Linux_X86_64 LibreOffice_project/33e196637044ead23f5c3226cde09b47731f7e27</Application>
  <AppVersion>15.0000</AppVersion>
  <Pages>1</Pages>
  <Words>101</Words>
  <Characters>609</Characters>
  <CharactersWithSpaces>718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2025-08-26T08:44:23Z</dcterms:created>
  <dc:creator/>
  <dc:description/>
  <dc:language>es-MX</dc:language>
  <cp:lastModifiedBy/>
  <dcterms:modified xsi:type="dcterms:W3CDTF">2025-08-26T08:45:30Z</dcterms:modified>
  <cp:revision>1</cp:revision>
  <dc:subject/>
  <dc:title/>
</cp:coreProperties>
</file>