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12.- 4  </w:t>
      </w:r>
    </w:p>
    <w:p>
      <w:pPr>
        <w:pStyle w:val="Normal"/>
        <w:bidi w:val="0"/>
        <w:jc w:val="start"/>
        <w:rPr>
          <w:lang w:val="en-US"/>
        </w:rPr>
      </w:pPr>
      <w:r>
        <w:rPr>
          <w:lang w:val="en-US"/>
        </w:rPr>
        <w:t xml:space="preserve">13.- 4  </w:t>
      </w:r>
    </w:p>
    <w:p>
      <w:pPr>
        <w:pStyle w:val="Normal"/>
        <w:bidi w:val="0"/>
        <w:jc w:val="start"/>
        <w:rPr>
          <w:lang w:val="en-US"/>
        </w:rPr>
      </w:pPr>
      <w:r>
        <w:rPr>
          <w:lang w:val="en-US"/>
        </w:rPr>
        <w:t>14.- I’d gift it to queer readers, LGBTQ+ parents and teens, book clubs interested in intergenerational stories, and lovers of lyrical historical fiction. It would also resonate with readers navigating grief, legacy, and parent–child reconciliation, as well as educators in queer studies or counselors who value artful narratives about identity, tenderness, and restraint.</w:t>
      </w:r>
    </w:p>
    <w:p>
      <w:pPr>
        <w:pStyle w:val="Normal"/>
        <w:bidi w:val="0"/>
        <w:jc w:val="start"/>
        <w:rPr>
          <w:lang w:val="en-US"/>
        </w:rPr>
      </w:pPr>
      <w:r>
        <w:rPr>
          <w:lang w:val="en-US"/>
        </w:rPr>
      </w:r>
    </w:p>
    <w:p>
      <w:pPr>
        <w:pStyle w:val="Normal"/>
        <w:bidi w:val="0"/>
        <w:jc w:val="start"/>
        <w:rPr>
          <w:lang w:val="en-US"/>
        </w:rPr>
      </w:pPr>
      <w:r>
        <w:rPr>
          <w:lang w:val="en-US"/>
        </w:rPr>
        <w:t>15.- Foglifter; The Sun; Electric Literature (Recommended Reading); Guernica; Granta; Ploughshares; Tin House (online); The Kenyon Review; McSweeney’s Quarterly; One Story (if trimmed); The Offing; CRAFT. These venues prize lyrical, emotionally complex fiction with queer histories, hybrid realism, and intergenerational resonance.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103</Words>
  <Characters>631</Characters>
  <CharactersWithSpaces>735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2025-08-25T06:37:32Z</dcterms:created>
  <dc:creator/>
  <dc:description/>
  <dc:language>es-MX</dc:language>
  <cp:lastModifiedBy/>
  <dcterms:modified xsi:type="dcterms:W3CDTF">2025-08-25T06:38:58Z</dcterms:modified>
  <cp:revision>1</cp:revision>
  <dc:subject/>
  <dc:title/>
</cp:coreProperties>
</file>