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13.- 3  </w:t>
      </w:r>
    </w:p>
    <w:p>
      <w:pPr>
        <w:pStyle w:val="Normal"/>
        <w:bidi w:val="0"/>
        <w:jc w:val="start"/>
        <w:rPr/>
      </w:pPr>
      <w:r>
        <w:rPr/>
        <w:t xml:space="preserve">14.- Readers drawn to elegiac, place-rooted fiction; hikers and naturalists; those processing grief or seeking meaning in ritual; fans of Ron Rash, Annie Dillard, Peter Matthiessen, or Wendell Berry; hospice workers, funeral directors, park rangers, and book clubs that enjoy contemplative, character-centered narratives about mortality and purpose.  </w:t>
      </w:r>
    </w:p>
    <w:p>
      <w:pPr>
        <w:pStyle w:val="Normal"/>
        <w:bidi w:val="0"/>
        <w:jc w:val="start"/>
        <w:rPr/>
      </w:pPr>
      <w:r>
        <w:rPr/>
        <w:t>15.- Ecotone (sense of place), The Common (place-driven literary fiction), Orion (nature/loss), The Sun (humanist, reflective stories), Appalachian Review (regional fit), Virginia Quarterly Review, or Granta. These venues value lyrical prose, landscape as character, and meditations on mortality and vocation.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95</Words>
  <Characters>593</Characters>
  <CharactersWithSpaces>692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2025-08-25T07:30:52Z</dcterms:created>
  <dc:creator/>
  <dc:description/>
  <dc:language>es-MX</dc:language>
  <cp:lastModifiedBy/>
  <dcterms:modified xsi:type="dcterms:W3CDTF">2025-08-25T07:32:16Z</dcterms:modified>
  <cp:revision>1</cp:revision>
  <dc:subject/>
  <dc:title/>
</cp:coreProperties>
</file>