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10.- 4  </w:t>
      </w:r>
    </w:p>
    <w:p>
      <w:pPr>
        <w:pStyle w:val="Normal"/>
        <w:bidi w:val="0"/>
        <w:jc w:val="start"/>
        <w:rPr/>
      </w:pPr>
      <w:r>
        <w:rPr/>
        <w:t xml:space="preserve">11.- 4  </w:t>
      </w:r>
    </w:p>
    <w:p>
      <w:pPr>
        <w:pStyle w:val="Normal"/>
        <w:bidi w:val="0"/>
        <w:jc w:val="start"/>
        <w:rPr/>
      </w:pPr>
      <w:r>
        <w:rPr/>
        <w:t xml:space="preserve">12.- 4  </w:t>
      </w:r>
    </w:p>
    <w:p>
      <w:pPr>
        <w:pStyle w:val="Normal"/>
        <w:bidi w:val="0"/>
        <w:jc w:val="start"/>
        <w:rPr/>
      </w:pPr>
      <w:r>
        <w:rPr/>
        <w:t xml:space="preserve">13.- 4  </w:t>
      </w:r>
    </w:p>
    <w:p>
      <w:pPr>
        <w:pStyle w:val="Normal"/>
        <w:bidi w:val="0"/>
        <w:jc w:val="start"/>
        <w:rPr/>
      </w:pPr>
      <w:r>
        <w:rPr/>
        <w:t>14.- First</w:t>
        <w:noBreakHyphen/>
        <w:t>gen professionals; book clubs interested in class, identity, and women’s lives; readers of Edith Wharton, Claire Messud, and Elizabeth Strout; therapists/coaches working with social mobility or impostor syndrome; mothers/daughters navigating in</w:t>
        <w:noBreakHyphen/>
        <w:t xml:space="preserve">law dynamics; anyone wrestling with assimilation versus authenticity.  </w:t>
      </w:r>
    </w:p>
    <w:p>
      <w:pPr>
        <w:pStyle w:val="Normal"/>
        <w:bidi w:val="0"/>
        <w:jc w:val="start"/>
        <w:rPr/>
      </w:pPr>
      <w:r>
        <w:rPr/>
        <w:t>15.- The Sun; Electric Literature (The Commuter); The Common; Kenyon Review Online; Narrative; One Story; Joyland; Granta. These outlets favor voice</w:t>
        <w:noBreakHyphen/>
        <w:t>driven, psychologically acute literary fiction exploring class, belonging, and the textures of domestic and social life.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83</Words>
  <Characters>541</Characters>
  <CharactersWithSpaces>628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2025-08-25T08:22:43Z</dcterms:created>
  <dc:creator/>
  <dc:description/>
  <dc:language>es-MX</dc:language>
  <cp:lastModifiedBy/>
  <dcterms:modified xsi:type="dcterms:W3CDTF">2025-08-25T08:24:01Z</dcterms:modified>
  <cp:revision>1</cp:revision>
  <dc:subject/>
  <dc:title/>
</cp:coreProperties>
</file>