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A narrator trails a euphoric young couple to the river, amid ruin shot through with sudden radiance. After an altercation and a quasi-mystical vision, the narrator recalls Maggie’s remark about a chair and finds the couple’s home. Domestic calm yields to a violent storm; floodwaters engulf the house. A burned chair becomes emblem and mirror for Maggie’s scorched yet enduring spirit. As the waters rise and awareness dawns, Maggie, Tom, and their terrier escape. The narrator reframes their earlier joy as resilience and withdraws with a benediction.</w:t>
      </w:r>
    </w:p>
    <w:p>
      <w:pPr>
        <w:pStyle w:val="Normal"/>
        <w:bidi w:val="0"/>
        <w:jc w:val="start"/>
        <w:rPr>
          <w:lang w:val="en-US"/>
        </w:rPr>
      </w:pPr>
      <w:r>
        <w:rPr>
          <w:lang w:val="en-US"/>
        </w:rPr>
      </w:r>
    </w:p>
    <w:p>
      <w:pPr>
        <w:pStyle w:val="Normal"/>
        <w:bidi w:val="0"/>
        <w:jc w:val="start"/>
        <w:rPr>
          <w:lang w:val="en-US"/>
        </w:rPr>
      </w:pPr>
      <w:r>
        <w:rPr>
          <w:lang w:val="en-US"/>
        </w:rPr>
        <w:t>2. Fragility and resilience: love and gaiety set against civic decay and nature’s indifference. The flood literalizes entropy, testing domestic bonds. The burned chair is a synecdoche for Maggie—scarred, diminished, yet capable of renewal—suggesting trauma transmuted into endurance. The narrator’s visionary rupture interrogates perception: we mistake radiance for safety until catastrophe teaches attention. Beneath the lyric surface, it questions whether happiness is naïveté or defiant ethic, and whether witnessing others’ lives confers understanding or merely aestheticizes their peril.</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Allegory of psychological crisis: the flood as depression/trauma and the escape as hard-won coping. Metafictional critique of spectatorship: the narrator aestheticizes danger; the “cracked looking-glass” flags art’s distortions and modernist intertexts. Social reading: post-crisis city (postwar or climate) where private love resists systemic decay. Spiritual/mythic pattern: flood as baptismal ordeal; the burned chair/phoenix as death-and-rebirth. Unreliable/liminal narrator: the “impossible sight” and icy plane suggest dissociation or a brush with death, making Maggie and Tom projections in an epiphany about endurance.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251</Words>
  <Characters>1535</Characters>
  <CharactersWithSpaces>1780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2025-08-25T19:19:34Z</dcterms:created>
  <dc:creator/>
  <dc:description/>
  <dc:language>es-MX</dc:language>
  <cp:lastModifiedBy/>
  <dcterms:modified xsi:type="dcterms:W3CDTF">2025-08-25T19:21:19Z</dcterms:modified>
  <cp:revision>1</cp:revision>
  <dc:subject/>
  <dc:title/>
</cp:coreProperties>
</file>