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10.- 4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11.- 5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13.- 4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 Readers of intimate domestic realism—fans of Tessa Hadley, Julian Barnes, Alice Munro; book clubs exploring marriage, memory, ambivalence; therapists/coaches using fiction to discuss dreams, grief, and choice.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Literary journals: The New Yorker, Granta, The Paris Review, American Short Fiction. For a collection: FSG, Knopf, Graywolf Press, Grove/Atlantic.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58</Words>
  <Characters>338</Characters>
  <CharactersWithSpaces>389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2025-08-24T13:41:18Z</dcterms:created>
  <dc:creator/>
  <dc:description/>
  <dc:language>es-MX</dc:language>
  <cp:lastModifiedBy/>
  <dcterms:modified xsi:type="dcterms:W3CDTF">2025-08-24T13:42:42Z</dcterms:modified>
  <cp:revision>2</cp:revision>
  <dc:subject/>
  <dc:title/>
</cp:coreProperties>
</file>