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1.- Faculty housing is discovered to lack flashing; after a decade, disruptive remediation begins (taped windows, no A/C, drilling). Storms expose active leaks; gallons are collected; a man-sized paint bubble bursts brown water. Contractors and administrators deflect, invoking a never-seen “hygienist.” Untenured faculty fear repercussions; rent-strike talk fizzles. A VP blames “preexisting” issues and promises absurd fixes. Work continues; mold is monitored but minimized. The residents normalize harm and keep paying rent, consoling themselves with tenure dreams (Crete).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2.- Institutional negligence and bureaucratic gaslighting; academic precarity and self-censorship; language as liability shield; the façade as metaphor for image management masking structural rot; environmental risk shifted onto workers’ homes; class/tenure privilege and racialized, gendered dynamics; normalization of chronic harm through aspiration and fatigue; pandemic-era indifference and the ethics of complicity.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3.- 5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>4.- An allegory of neoliberal academia and managed decline: missing flashing as absent institutional care; taped windows as enforced silence; the CC’d “hygienist” as compliance theater; foundation “rising” as meritocratic myth; the man-sized bubble as repressed crisis; the soothing “waterfall” as rationalized harm; Crete as the illusory reward that keeps workers enduring exploitation.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LibreOffice/25.2.4.3$Linux_X86_64 LibreOffice_project/33e196637044ead23f5c3226cde09b47731f7e27</Application>
  <AppVersion>15.0000</AppVersion>
  <Pages>1</Pages>
  <Words>184</Words>
  <Characters>1208</Characters>
  <CharactersWithSpaces>1391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2025-08-23T16:43:32Z</dcterms:created>
  <dc:creator/>
  <dc:description/>
  <dc:language>es-MX</dc:language>
  <cp:lastModifiedBy/>
  <dcterms:modified xsi:type="dcterms:W3CDTF">2025-08-23T17:05:13Z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