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I’d give it to readers of Jewish</w:t>
        <w:noBreakHyphen/>
        <w:t>American literature and micro-histories; book clubs interested in 1960s Detroit; clergy and lay leaders considering communal trauma; fans of Grace Paley, E. L. Doctorow, and Nicole Krauss; and writers studying second-person address, focalization, and ethical witnessing.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Journals: The New Yorker, Granta, Harper’s, The Paris Review, The Atlantic. For a collection: Little, Brown; Houghton Mifflin Harcourt/Mariner; Farrar, Straus and Giroux; Knopf; Graywolf; Grove/Atlantic. Regional interest could suit Belt Publishing or Wayne State University Press for Midwestern/Jewish American histories.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93</Words>
  <Characters>572</Characters>
  <CharactersWithSpaces>659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2025-08-24T12:41:54Z</dcterms:created>
  <dc:creator/>
  <dc:description/>
  <dc:language>es-MX</dc:language>
  <cp:lastModifiedBy/>
  <dcterms:modified xsi:type="dcterms:W3CDTF">2025-08-24T12:43:07Z</dcterms:modified>
  <cp:revision>2</cp:revision>
  <dc:subject/>
  <dc:title/>
</cp:coreProperties>
</file>