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Adult children navigating aging or estranged parents; readers who love autofiction and quiet realism (fans of Annie Ernaux, Natalia Ginzburg, Rachel Cusk); book clubs interested in memory, class, and provincial life; caregivers and social workers attuned to elder loneliness; creative-writing students studying restraint, subtext, and symbol; anyone who appreciates precise prose and the ache of unspoken love.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Journals: The New Yorker, Granta, The Paris Review, A Public Space, The Yale Review, AGNI. For a collection: Fitzcarraldo Editions, New Directions, Graywolf Press, NYRB Classics, Europa Editions—houses that champion distilled, European</w:t>
        <w:noBreakHyphen/>
        <w:t>inflected literary fiction with autofictional undertones and quiet formal mastery.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109</Words>
  <Characters>660</Characters>
  <CharactersWithSpaces>762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2025-08-24T12:58:30Z</dcterms:created>
  <dc:creator/>
  <dc:description/>
  <dc:language>es-MX</dc:language>
  <cp:lastModifiedBy/>
  <dcterms:modified xsi:type="dcterms:W3CDTF">2025-08-24T13:01:14Z</dcterms:modified>
  <cp:revision>1</cp:revision>
  <dc:subject/>
  <dc:title/>
</cp:coreProperties>
</file>