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DealRadar — Live API Implementation Roadmap</w:t>
      </w:r>
    </w:p>
    <w:p>
      <w:pPr>
        <w:spacing w:after="240"/>
      </w:pPr>
      <w:r>
        <w:rPr>
          <w:i/>
          <w:color w:val="555555"/>
          <w:sz w:val="20"/>
        </w:rPr>
        <w:t xml:space="preserve">Internal roadmap for moving DealRadar from synthetic (mock) data to live affiliate APIs, then to monetisation and growth. Adapted to the real codebase — file paths, types, and the provider architecture that already exists. A more detailed spec for the live-API + compliance phase lives on branch docs/spec-compilation-2026-06-23. Last reviewed: 2026-06-24.</w:t>
      </w:r>
    </w:p>
    <w:p>
      <w:pPr>
        <w:pStyle w:val="Heading1"/>
      </w:pPr>
      <w:r>
        <w:t xml:space="preserve">0. Where the project already is (read first)</w:t>
      </w:r>
    </w:p>
    <w:p>
      <w:pPr>
        <w:spacing w:after="120"/>
      </w:pPr>
      <w:r>
        <w:t xml:space="preserve">Most of the heavy lifting the original plan proposed is already built, in a cleaner way. Do not rebuild these — the remaining work is credentials, verification, and the later growth phases.</w:t>
      </w:r>
    </w:p>
    <w:p>
      <w:pPr>
        <w:spacing w:after="60"/>
        <w:ind w:left="360" w:hanging="360"/>
      </w:pPr>
      <w:r>
        <w:t xml:space="preserve">•</w:t>
      </w:r>
      <w:r>
        <w:tab/>
      </w:r>
      <w:r>
        <w:rPr>
          <w:b/>
        </w:rPr>
        <w:t xml:space="preserve">Provider architecture — </w:t>
      </w:r>
      <w:r>
        <w:t xml:space="preserve">A PriceProvider interface (src/lib/providers/types.ts) and a registry (src/lib/providers/registry.ts) that selects providers per country by priority, dedupes results by productId, and falls through to the next provider on error.</w:t>
      </w:r>
    </w:p>
    <w:p>
      <w:pPr>
        <w:spacing w:after="60"/>
        <w:ind w:left="360" w:hanging="360"/>
      </w:pPr>
      <w:r>
        <w:t xml:space="preserve">•</w:t>
      </w:r>
      <w:r>
        <w:tab/>
      </w:r>
      <w:r>
        <w:rPr>
          <w:b/>
        </w:rPr>
        <w:t xml:space="preserve">Real provider stubs — </w:t>
      </w:r>
      <w:r>
        <w:t xml:space="preserve">Kelkoo is the configured PRIMARY aggregator (priority 10); Awin and Tradedoubler are fallbacks. Each (e.g. src/lib/providers/kelkoo.ts) already calls its real API and automatically returns mock data when its token is missing.</w:t>
      </w:r>
    </w:p>
    <w:p>
      <w:pPr>
        <w:spacing w:after="60"/>
        <w:ind w:left="360" w:hanging="360"/>
      </w:pPr>
      <w:r>
        <w:t xml:space="preserve">•</w:t>
      </w:r>
      <w:r>
        <w:tab/>
      </w:r>
      <w:r>
        <w:rPr>
          <w:b/>
        </w:rPr>
        <w:t xml:space="preserve">Refresh loop — </w:t>
      </w:r>
      <w:r>
        <w:t xml:space="preserve">POST /api/refresh (protected by CRON_SECRET) fans out country × category, pulls from the registry, upserts to Supabase, and emails price-drop alerts. Scheduled every 15 minutes by netlify/functions/refresh-deals.mts.</w:t>
      </w:r>
    </w:p>
    <w:p>
      <w:pPr>
        <w:spacing w:after="60"/>
        <w:ind w:left="360" w:hanging="360"/>
      </w:pPr>
      <w:r>
        <w:t xml:space="preserve">•</w:t>
      </w:r>
      <w:r>
        <w:tab/>
      </w:r>
      <w:r>
        <w:rPr>
          <w:b/>
        </w:rPr>
        <w:t xml:space="preserve">Database — </w:t>
      </w:r>
      <w:r>
        <w:t xml:space="preserve">supabase/schema.sql already defines the deals table (product_id primary key + all fields), the price_alerts table, indexes, a distinct_brands() function, and row-level security.</w:t>
      </w:r>
    </w:p>
    <w:p>
      <w:pPr>
        <w:spacing w:after="60"/>
        <w:ind w:left="360" w:hanging="360"/>
      </w:pPr>
      <w:r>
        <w:t xml:space="preserve">•</w:t>
      </w:r>
      <w:r>
        <w:tab/>
      </w:r>
      <w:r>
        <w:rPr>
          <w:b/>
        </w:rPr>
        <w:t xml:space="preserve">Monetisation links — </w:t>
      </w:r>
      <w:r>
        <w:t xml:space="preserve">Outgoing links are affiliate-decorated at render time via decorateAffiliateUrl — there is no separate tracking_url column.</w:t>
      </w:r>
    </w:p>
    <w:p>
      <w:pPr>
        <w:spacing w:after="120"/>
      </w:pPr>
      <w:r>
        <w:t xml:space="preserve">In short: the app is a finished shop window stocked with synthetic data. Everything below is about stocking real products, then growing traffic.</w:t>
      </w:r>
    </w:p>
    <w:p>
      <w:pPr>
        <w:pStyle w:val="Heading1"/>
      </w:pPr>
      <w:r>
        <w:t xml:space="preserve">1. Phase 1 — Go live with real deal data  (THE NEXT STEP)</w:t>
      </w:r>
    </w:p>
    <w:p>
      <w:pPr>
        <w:spacing w:after="120"/>
      </w:pPr>
      <w:r>
        <w:t xml:space="preserve">Goal: replace synthetic deals with real, changing prices. The code is ready; this phase is mostly credentials + verification.</w:t>
      </w:r>
    </w:p>
    <w:p>
      <w:pPr>
        <w:pStyle w:val="Heading2"/>
      </w:pPr>
      <w:r>
        <w:t xml:space="preserve">1.1 Get affiliate API credentials</w:t>
      </w:r>
    </w:p>
    <w:p>
      <w:pPr>
        <w:spacing w:after="60"/>
        <w:ind w:left="360" w:hanging="360"/>
      </w:pPr>
      <w:r>
        <w:t xml:space="preserve">•</w:t>
      </w:r>
      <w:r>
        <w:tab/>
      </w:r>
      <w:r>
        <w:rPr>
          <w:b/>
        </w:rPr>
        <w:t xml:space="preserve">Kelkoo (primary) — </w:t>
      </w:r>
      <w:r>
        <w:t xml:space="preserve">Apply as a publisher at kelkoogroup.com. After approval, generate an API token in the Publisher Center (per country if offered). This is the single biggest unlock — without it, every provider falls back to mock.</w:t>
      </w:r>
    </w:p>
    <w:p>
      <w:pPr>
        <w:spacing w:after="60"/>
        <w:ind w:left="360" w:hanging="360"/>
      </w:pPr>
      <w:r>
        <w:t xml:space="preserve">•</w:t>
      </w:r>
      <w:r>
        <w:tab/>
      </w:r>
      <w:r>
        <w:rPr>
          <w:b/>
        </w:rPr>
        <w:t xml:space="preserve">Optional breadth — </w:t>
      </w:r>
      <w:r>
        <w:t xml:space="preserve">Awin and Tradedoubler are already stubbed; add their tokens later for wider coverage.</w:t>
      </w:r>
    </w:p>
    <w:p>
      <w:pPr>
        <w:pStyle w:val="Heading2"/>
      </w:pPr>
      <w:r>
        <w:t xml:space="preserve">1.2 Set environment variables (Netlify)</w:t>
      </w:r>
    </w:p>
    <w:p>
      <w:pPr>
        <w:spacing w:after="60"/>
        <w:ind w:left="360" w:hanging="360"/>
      </w:pPr>
      <w:r>
        <w:t xml:space="preserve">•</w:t>
      </w:r>
      <w:r>
        <w:tab/>
      </w:r>
      <w:r>
        <w:rPr>
          <w:b/>
        </w:rPr>
        <w:t xml:space="preserve">Add — </w:t>
      </w:r>
      <w:r>
        <w:t xml:space="preserve">Add KELKOO_API_TOKEN in the Netlify dashboard (Site settings → Environment variables). Keep it out of Git.</w:t>
      </w:r>
    </w:p>
    <w:p>
      <w:pPr>
        <w:spacing w:after="60"/>
        <w:ind w:left="360" w:hanging="360"/>
      </w:pPr>
      <w:r>
        <w:t xml:space="preserve">•</w:t>
      </w:r>
      <w:r>
        <w:tab/>
      </w:r>
      <w:r>
        <w:rPr>
          <w:b/>
        </w:rPr>
        <w:t xml:space="preserve">Already set — </w:t>
      </w:r>
      <w:r>
        <w:t xml:space="preserve">SUPABASE_URL, SUPABASE_SERVICE_ROLE_KEY, RESEND_API_KEY, and CRON_SECRET are already set.</w:t>
      </w:r>
    </w:p>
    <w:p>
      <w:pPr>
        <w:pStyle w:val="Heading2"/>
      </w:pPr>
      <w:r>
        <w:t xml:space="preserve">1.3 Verify the live response shape</w:t>
      </w:r>
    </w:p>
    <w:p>
      <w:pPr>
        <w:spacing w:after="120"/>
      </w:pPr>
      <w:r>
        <w:t xml:space="preserve">The KelkooOffer interface and normalize() in src/lib/providers/kelkoo.ts are written from the docs and flagged “verify against live docs before launch”. Once you have real responses, confirm the field mapping (price, previousPrice, merchant, goUrl, images) and adjust normalize() if the live payload differs.</w:t>
      </w:r>
    </w:p>
    <w:p>
      <w:pPr>
        <w:pStyle w:val="Heading2"/>
      </w:pPr>
      <w:r>
        <w:t xml:space="preserve">1.4 Test the end-to-end loop</w:t>
      </w:r>
    </w:p>
    <w:p>
      <w:pPr>
        <w:spacing w:after="60"/>
        <w:ind w:left="360" w:hanging="360"/>
      </w:pPr>
      <w:r>
        <w:t xml:space="preserve">•</w:t>
      </w:r>
      <w:r>
        <w:tab/>
      </w:r>
      <w:r>
        <w:rPr>
          <w:b/>
        </w:rPr>
        <w:t xml:space="preserve">Trigger — </w:t>
      </w:r>
      <w:r>
        <w:t xml:space="preserve">Trigger a sync: POST /api/refresh with header Authorization: Bearer &lt;CRON_SECRET&gt;.</w:t>
      </w:r>
    </w:p>
    <w:p>
      <w:pPr>
        <w:spacing w:before="40" w:after="40"/>
        <w:ind w:left="120"/>
        <w:shd w:val="clear" w:color="auto" w:fill="F3F4F6"/>
      </w:pPr>
      <w:r>
        <w:rPr>
          <w:rFonts w:ascii="Consolas" w:hAnsi="Consolas"/>
          <w:sz w:val="18"/>
        </w:rPr>
        <w:t xml:space="preserve">curl -X POST https://&lt;your-site&gt;.netlify.app/api/refresh -H "Authorization: Bearer $CRON_SECRET"</w:t>
      </w:r>
    </w:p>
    <w:p>
      <w:pPr>
        <w:spacing w:after="60"/>
        <w:ind w:left="360" w:hanging="360"/>
      </w:pPr>
      <w:r>
        <w:t xml:space="preserve">•</w:t>
      </w:r>
      <w:r>
        <w:tab/>
      </w:r>
      <w:r>
        <w:rPr>
          <w:b/>
        </w:rPr>
        <w:t xml:space="preserve">Confirm persistence — </w:t>
      </w:r>
      <w:r>
        <w:t xml:space="preserve">Real rows should appear in the Supabase deals table; queryDeals() reads from Supabase once it is configured (it falls back to mock only when Supabase is unset).</w:t>
      </w:r>
    </w:p>
    <w:p>
      <w:pPr>
        <w:spacing w:after="60"/>
        <w:ind w:left="360" w:hanging="360"/>
      </w:pPr>
      <w:r>
        <w:t xml:space="preserve">•</w:t>
      </w:r>
      <w:r>
        <w:tab/>
      </w:r>
      <w:r>
        <w:rPr>
          <w:b/>
        </w:rPr>
        <w:t xml:space="preserve">Check the UI — </w:t>
      </w:r>
      <w:r>
        <w:t xml:space="preserve">Hard-refresh the live site (Ctrl+Shift+R) to bypass cached JS.</w:t>
      </w:r>
    </w:p>
    <w:p>
      <w:pPr>
        <w:pStyle w:val="Heading2"/>
      </w:pPr>
      <w:r>
        <w:t xml:space="preserve">1.5 Turn on real alert emails</w:t>
      </w:r>
    </w:p>
    <w:p>
      <w:pPr>
        <w:spacing w:after="120"/>
      </w:pPr>
      <w:r>
        <w:t xml:space="preserve">Resend is still on the test sender (onboarding@resend.dev), which only delivers to the account owner. Verify a sending domain in Resend and set ALERT_FROM_EMAIL so real subscribers receive price-drop emails.</w:t>
      </w:r>
    </w:p>
    <w:p>
      <w:pPr>
        <w:spacing w:after="120"/>
      </w:pPr>
      <w:r>
        <w:rPr>
          <w:b/>
        </w:rPr>
        <w:t xml:space="preserve">Done when: </w:t>
      </w:r>
      <w:r>
        <w:t xml:space="preserve">Prices change on their own AND a real subscriber receives a real price-drop email.</w:t>
      </w:r>
    </w:p>
    <w:p>
      <w:pPr>
        <w:pStyle w:val="Heading1"/>
      </w:pPr>
      <w:r>
        <w:t xml:space="preserve">2. Phase 2 — Multi-network breadth &amp; smarter dedup</w:t>
      </w:r>
    </w:p>
    <w:p>
      <w:pPr>
        <w:spacing w:after="120"/>
      </w:pPr>
      <w:r>
        <w:t xml:space="preserve">Only needed once one network is not enough, or two networks list the same product.</w:t>
      </w:r>
    </w:p>
    <w:p>
      <w:pPr>
        <w:spacing w:after="60"/>
        <w:ind w:left="360" w:hanging="360"/>
      </w:pPr>
      <w:r>
        <w:t xml:space="preserve">•</w:t>
      </w:r>
      <w:r>
        <w:tab/>
      </w:r>
      <w:r>
        <w:rPr>
          <w:b/>
        </w:rPr>
        <w:t xml:space="preserve">Add a provider — </w:t>
      </w:r>
      <w:r>
        <w:t xml:space="preserve">One file in src/lib/providers/ + one line in the PROVIDERS array in registry.ts. Candidates: enable Awin/Tradedoubler, or add an aggregator like Strackr (FR, 190+ networks) or Mitgo/TakeAds as a new provider.</w:t>
      </w:r>
    </w:p>
    <w:p>
      <w:pPr>
        <w:spacing w:after="60"/>
        <w:ind w:left="360" w:hanging="360"/>
      </w:pPr>
      <w:r>
        <w:t xml:space="preserve">•</w:t>
      </w:r>
      <w:r>
        <w:tab/>
      </w:r>
      <w:r>
        <w:rPr>
          <w:b/>
        </w:rPr>
        <w:t xml:space="preserve">Cross-network dedup — </w:t>
      </w:r>
      <w:r>
        <w:t xml:space="preserve">Today the registry dedupes by productId (unique per provider). If two networks carry the same product, both can show. To collapse them, add an optional EAN/barcode to NormalizedDeal and a second dedupe pass keyed on EAN, preferring the higher commission / deeper discount. Add an ean column only if you go multi-network on the same catalogue.</w:t>
      </w:r>
    </w:p>
    <w:p>
      <w:pPr>
        <w:spacing w:after="60"/>
        <w:ind w:left="360" w:hanging="360"/>
      </w:pPr>
      <w:r>
        <w:t xml:space="preserve">•</w:t>
      </w:r>
      <w:r>
        <w:tab/>
      </w:r>
      <w:r>
        <w:rPr>
          <w:b/>
        </w:rPr>
        <w:t xml:space="preserve">Who wins — </w:t>
      </w:r>
      <w:r>
        <w:t xml:space="preserve">The registry already sorts by provider priority — set priority to control which source wins on a conflict.</w:t>
      </w:r>
    </w:p>
    <w:p>
      <w:pPr>
        <w:pStyle w:val="Heading1"/>
      </w:pPr>
      <w:r>
        <w:t xml:space="preserve">3. Phase 3 — Conversion tracking &amp; revenue visibility</w:t>
      </w:r>
    </w:p>
    <w:p>
      <w:pPr>
        <w:spacing w:after="120"/>
      </w:pPr>
      <w:r>
        <w:t xml:space="preserve">Not built yet. The app earns via affiliate links but cannot yet see which clicks convert.</w:t>
      </w:r>
    </w:p>
    <w:p>
      <w:pPr>
        <w:spacing w:after="60"/>
        <w:ind w:left="360" w:hanging="360"/>
      </w:pPr>
      <w:r>
        <w:t xml:space="preserve">•</w:t>
      </w:r>
      <w:r>
        <w:tab/>
      </w:r>
      <w:r>
        <w:rPr>
          <w:b/>
        </w:rPr>
        <w:t xml:space="preserve">Sub-ID tagging — </w:t>
      </w:r>
      <w:r>
        <w:t xml:space="preserve">Append identifiers (deal id, category, country) to outgoing links inside decorateAffiliateUrl so a sale can be mapped back to a deal.</w:t>
      </w:r>
    </w:p>
    <w:p>
      <w:pPr>
        <w:spacing w:after="60"/>
        <w:ind w:left="360" w:hanging="360"/>
      </w:pPr>
      <w:r>
        <w:t xml:space="preserve">•</w:t>
      </w:r>
      <w:r>
        <w:tab/>
      </w:r>
      <w:r>
        <w:rPr>
          <w:b/>
        </w:rPr>
        <w:t xml:space="preserve">Postback endpoint — </w:t>
      </w:r>
      <w:r>
        <w:t xml:space="preserve">Add a route (e.g. /api/postback) the network pings on each sale with transaction id, commission, status, and your sub-id. Store rows in a new transactions table.</w:t>
      </w:r>
    </w:p>
    <w:p>
      <w:pPr>
        <w:spacing w:after="60"/>
        <w:ind w:left="360" w:hanging="360"/>
      </w:pPr>
      <w:r>
        <w:t xml:space="preserve">•</w:t>
      </w:r>
      <w:r>
        <w:tab/>
      </w:r>
      <w:r>
        <w:rPr>
          <w:b/>
        </w:rPr>
        <w:t xml:space="preserve">Dashboard — </w:t>
      </w:r>
      <w:r>
        <w:t xml:space="preserve">Surface pending/approved commissions so you do not have to log into each network.</w:t>
      </w:r>
    </w:p>
    <w:p>
      <w:pPr>
        <w:pStyle w:val="Heading1"/>
      </w:pPr>
      <w:r>
        <w:t xml:space="preserve">4. Phase 4 — AI-search visibility (growth)</w:t>
      </w:r>
    </w:p>
    <w:p>
      <w:pPr>
        <w:spacing w:after="120"/>
      </w:pPr>
      <w:r>
        <w:t xml:space="preserve">Make ChatGPT / Perplexity / Gemini cite DealRadar. Not built yet, and must be adapted to this UI.</w:t>
      </w:r>
    </w:p>
    <w:p>
      <w:pPr>
        <w:spacing w:after="60"/>
        <w:ind w:left="360" w:hanging="360"/>
      </w:pPr>
      <w:r>
        <w:t xml:space="preserve">•</w:t>
      </w:r>
      <w:r>
        <w:tab/>
      </w:r>
      <w:r>
        <w:rPr>
          <w:b/>
        </w:rPr>
        <w:t xml:space="preserve">Structured data (JSON-LD) — </w:t>
      </w:r>
      <w:r>
        <w:t xml:space="preserve">Add Product/Offer schema to deal pages. CAVEAT: there are no per-deal pages today — deals open in a modal. Either add deal detail pages (src/app/[locale]/deal/[slug]/page.tsx) or inject JSON-LD on the category/listing pages.</w:t>
      </w:r>
    </w:p>
    <w:p>
      <w:pPr>
        <w:spacing w:after="60"/>
        <w:ind w:left="360" w:hanging="360"/>
      </w:pPr>
      <w:r>
        <w:t xml:space="preserve">•</w:t>
      </w:r>
      <w:r>
        <w:tab/>
      </w:r>
      <w:r>
        <w:rPr>
          <w:b/>
        </w:rPr>
        <w:t xml:space="preserve">Contextual proof — </w:t>
      </w:r>
      <w:r>
        <w:t xml:space="preserve">Auto-generate lines like “lowest price in 90 days”. CAVEAT: price history is currently synthetic — this needs real historical tracking (a price_history table or a historical_low column populated during refresh).</w:t>
      </w:r>
    </w:p>
    <w:p>
      <w:pPr>
        <w:spacing w:after="60"/>
        <w:ind w:left="360" w:hanging="360"/>
      </w:pPr>
      <w:r>
        <w:t xml:space="preserve">•</w:t>
      </w:r>
      <w:r>
        <w:tab/>
      </w:r>
      <w:r>
        <w:rPr>
          <w:b/>
        </w:rPr>
        <w:t xml:space="preserve">robots.txt — </w:t>
      </w:r>
      <w:r>
        <w:t xml:space="preserve">None exists yet. Add public/robots.txt that welcomes AI crawlers (OAI-SearchBot, PerplexityBot, Google-Extended) and disallows /api/refresh.</w:t>
      </w:r>
    </w:p>
    <w:p>
      <w:pPr>
        <w:spacing w:after="60"/>
        <w:ind w:left="360" w:hanging="360"/>
      </w:pPr>
      <w:r>
        <w:t xml:space="preserve">•</w:t>
      </w:r>
      <w:r>
        <w:tab/>
      </w:r>
      <w:r>
        <w:rPr>
          <w:b/>
        </w:rPr>
        <w:t xml:space="preserve">Geo alignment — </w:t>
      </w:r>
      <w:r>
        <w:t xml:space="preserve">Reuse the existing next-intl localisation and Netlify geo headers (already used by /api/geo) so AI bots see Germany-contextual pages.</w:t>
      </w:r>
    </w:p>
    <w:p>
      <w:pPr>
        <w:pStyle w:val="Heading1"/>
      </w:pPr>
      <w:r>
        <w:t xml:space="preserve">5. Phase 5 — EU legal &amp; compliance</w:t>
      </w:r>
    </w:p>
    <w:p>
      <w:pPr>
        <w:spacing w:after="120"/>
      </w:pPr>
      <w:r>
        <w:t xml:space="preserve">Required before driving real traffic — Germany especially. It is EU-wide law, so build it ONCE to the strictest (DE/AT) standard and TRANSLATE per market — not a separate setup per country. UK and Switzerland need small tweaks. Not legal advice; have a lawyer review before launch.</w:t>
      </w:r>
    </w:p>
    <w:p>
      <w:pPr>
        <w:pStyle w:val="Heading2"/>
      </w:pPr>
      <w:r>
        <w:t xml:space="preserve">5.1 Cookie consent banner</w:t>
      </w:r>
    </w:p>
    <w:p>
      <w:pPr>
        <w:spacing w:after="60"/>
        <w:ind w:left="360" w:hanging="360"/>
      </w:pPr>
      <w:r>
        <w:t xml:space="preserve">•</w:t>
      </w:r>
      <w:r>
        <w:tab/>
      </w:r>
      <w:r>
        <w:rPr>
          <w:b/>
        </w:rPr>
        <w:t xml:space="preserve">Build — </w:t>
      </w:r>
      <w:r>
        <w:t xml:space="preserve">A banner that blocks all non-essential cookies/scripts until the user opts in (GDPR + ePrivacy + German TTDSG). E.g. the FOSS vanilla-cookieconsent. Categories: necessary (always on) vs analytics/marketing (opt-in); store the choice and respect it before loading anything non-essential.</w:t>
      </w:r>
    </w:p>
    <w:p>
      <w:pPr>
        <w:pStyle w:val="Heading2"/>
      </w:pPr>
      <w:r>
        <w:t xml:space="preserve">5.2 Legal pages (one set, translated)</w:t>
      </w:r>
    </w:p>
    <w:p>
      <w:pPr>
        <w:spacing w:after="60"/>
        <w:ind w:left="360" w:hanging="360"/>
      </w:pPr>
      <w:r>
        <w:t xml:space="preserve">•</w:t>
      </w:r>
      <w:r>
        <w:tab/>
      </w:r>
      <w:r>
        <w:rPr>
          <w:b/>
        </w:rPr>
        <w:t xml:space="preserve">Imprint — </w:t>
      </w:r>
      <w:r>
        <w:t xml:space="preserve">Imprint / “Impressum”: company name, address, contact, registration + VAT id. The German/Austrian Impressumspflicht is the strictest — meet it and the rest of the EU is covered.</w:t>
      </w:r>
    </w:p>
    <w:p>
      <w:pPr>
        <w:spacing w:after="60"/>
        <w:ind w:left="360" w:hanging="360"/>
      </w:pPr>
      <w:r>
        <w:t xml:space="preserve">•</w:t>
      </w:r>
      <w:r>
        <w:tab/>
      </w:r>
      <w:r>
        <w:rPr>
          <w:b/>
        </w:rPr>
        <w:t xml:space="preserve">Privacy — </w:t>
      </w:r>
      <w:r>
        <w:t xml:space="preserve">Privacy policy: what data you collect, why, legal basis, third parties (affiliate networks, Resend, Supabase), user rights, contact.</w:t>
      </w:r>
    </w:p>
    <w:p>
      <w:pPr>
        <w:spacing w:after="60"/>
        <w:ind w:left="360" w:hanging="360"/>
      </w:pPr>
      <w:r>
        <w:t xml:space="preserve">•</w:t>
      </w:r>
      <w:r>
        <w:tab/>
      </w:r>
      <w:r>
        <w:rPr>
          <w:b/>
        </w:rPr>
        <w:t xml:space="preserve">Terms — </w:t>
      </w:r>
      <w:r>
        <w:t xml:space="preserve">Terms of service + the affiliate-relationship disclosure. Add localised routes, e.g. src/app/[locale]/legal/{imprint,privacy,terms}/page.tsx.</w:t>
      </w:r>
    </w:p>
    <w:p>
      <w:pPr>
        <w:pStyle w:val="Heading2"/>
      </w:pPr>
      <w:r>
        <w:t xml:space="preserve">5.3 Email compliance (price-drop alerts)</w:t>
      </w:r>
    </w:p>
    <w:p>
      <w:pPr>
        <w:spacing w:after="60"/>
        <w:ind w:left="360" w:hanging="360"/>
      </w:pPr>
      <w:r>
        <w:t xml:space="preserve">•</w:t>
      </w:r>
      <w:r>
        <w:tab/>
      </w:r>
      <w:r>
        <w:rPr>
          <w:b/>
        </w:rPr>
        <w:t xml:space="preserve">Unsubscribe — </w:t>
      </w:r>
      <w:r>
        <w:t xml:space="preserve">Every alert email needs a visible unsubscribe link AND a List-Unsubscribe header (RFC 8058) — GDPR Art. 7(3) + German UWG §7. Update priceDropEmail() in alerts.repo.ts and add an unsubscribe route + token.</w:t>
      </w:r>
    </w:p>
    <w:p>
      <w:pPr>
        <w:pStyle w:val="Heading2"/>
      </w:pPr>
      <w:r>
        <w:t xml:space="preserve">5.4 Affiliate disclosure near the buttons</w:t>
      </w:r>
    </w:p>
    <w:p>
      <w:pPr>
        <w:spacing w:after="60"/>
        <w:ind w:left="360" w:hanging="360"/>
      </w:pPr>
      <w:r>
        <w:t xml:space="preserve">•</w:t>
      </w:r>
      <w:r>
        <w:tab/>
      </w:r>
      <w:r>
        <w:rPr>
          <w:b/>
        </w:rPr>
        <w:t xml:space="preserve">Disclosure — </w:t>
      </w:r>
      <w:r>
        <w:t xml:space="preserve">Show a short “ad / affiliate link” note next to the outbound “View at” CTAs, not only in the footer — EU Directive 2005/29/EC + German UWG.</w:t>
      </w:r>
    </w:p>
    <w:p>
      <w:pPr>
        <w:pStyle w:val="Heading2"/>
      </w:pPr>
      <w:r>
        <w:t xml:space="preserve">5.5 Per-market notes</w:t>
      </w:r>
    </w:p>
    <w:p>
      <w:pPr>
        <w:spacing w:after="60"/>
        <w:ind w:left="360" w:hanging="360"/>
      </w:pPr>
      <w:r>
        <w:t xml:space="preserve">•</w:t>
      </w:r>
      <w:r>
        <w:tab/>
      </w:r>
      <w:r>
        <w:rPr>
          <w:b/>
        </w:rPr>
        <w:t xml:space="preserve">EU + Norway — </w:t>
      </w:r>
      <w:r>
        <w:t xml:space="preserve">EU/EEA (DE, AT, FR, ES, IT, PL, NL, PT, SE, RO, BE, DK, FI, NO): one GDPR-based setup, translated per language.</w:t>
      </w:r>
    </w:p>
    <w:p>
      <w:pPr>
        <w:spacing w:after="60"/>
        <w:ind w:left="360" w:hanging="360"/>
      </w:pPr>
      <w:r>
        <w:t xml:space="preserve">•</w:t>
      </w:r>
      <w:r>
        <w:tab/>
      </w:r>
      <w:r>
        <w:rPr>
          <w:b/>
        </w:rPr>
        <w:t xml:space="preserve">UK — </w:t>
      </w:r>
      <w:r>
        <w:t xml:space="preserve">UK (GB): UK GDPR + PECR — near-identical, minor wording tweaks.</w:t>
      </w:r>
    </w:p>
    <w:p>
      <w:pPr>
        <w:spacing w:after="60"/>
        <w:ind w:left="360" w:hanging="360"/>
      </w:pPr>
      <w:r>
        <w:t xml:space="preserve">•</w:t>
      </w:r>
      <w:r>
        <w:tab/>
      </w:r>
      <w:r>
        <w:rPr>
          <w:b/>
        </w:rPr>
        <w:t xml:space="preserve">Switzerland — </w:t>
      </w:r>
      <w:r>
        <w:t xml:space="preserve">Switzerland (CH): own data-protection law (nFADP) — similar; may need a small addition / EU representative.</w:t>
      </w:r>
    </w:p>
    <w:p>
      <w:pPr>
        <w:spacing w:after="60"/>
        <w:ind w:left="360" w:hanging="360"/>
      </w:pPr>
      <w:r>
        <w:t xml:space="preserve">•</w:t>
      </w:r>
      <w:r>
        <w:tab/>
      </w:r>
      <w:r>
        <w:rPr>
          <w:b/>
        </w:rPr>
        <w:t xml:space="preserve">Caveat — </w:t>
      </w:r>
      <w:r>
        <w:t xml:space="preserve">Germany has aggressive private enforcement (“Abmahnung”) — get it right there first.</w:t>
      </w:r>
    </w:p>
    <w:p>
      <w:pPr>
        <w:pStyle w:val="Heading1"/>
      </w:pPr>
      <w:r>
        <w:t xml:space="preserve">6. Reference — EMEA affiliate networks &amp; aggregators</w:t>
      </w:r>
    </w:p>
    <w:p>
      <w:pPr>
        <w:pStyle w:val="Heading2"/>
      </w:pPr>
      <w:r>
        <w:t xml:space="preserve">Data aggregators (unify many networks into one API)</w:t>
      </w:r>
    </w:p>
    <w:p>
      <w:pPr>
        <w:spacing w:after="60"/>
        <w:ind w:left="360" w:hanging="360"/>
      </w:pPr>
      <w:r>
        <w:t xml:space="preserve">•</w:t>
      </w:r>
      <w:r>
        <w:tab/>
      </w:r>
      <w:r>
        <w:t xml:space="preserve">Strackr — strackr.com — strongest EU coverage (FR), 190+ networks</w:t>
      </w:r>
    </w:p>
    <w:p>
      <w:pPr>
        <w:spacing w:after="60"/>
        <w:ind w:left="360" w:hanging="360"/>
      </w:pPr>
      <w:r>
        <w:t xml:space="preserve">•</w:t>
      </w:r>
      <w:r>
        <w:tab/>
      </w:r>
      <w:r>
        <w:t xml:space="preserve">WeCanTrack — wecantrack.com — strong analytics / attribution (NL)</w:t>
      </w:r>
    </w:p>
    <w:p>
      <w:pPr>
        <w:spacing w:after="60"/>
        <w:ind w:left="360" w:hanging="360"/>
      </w:pPr>
      <w:r>
        <w:t xml:space="preserve">•</w:t>
      </w:r>
      <w:r>
        <w:tab/>
      </w:r>
      <w:r>
        <w:t xml:space="preserve">Affi.io — affi.io — modern data consolidation</w:t>
      </w:r>
    </w:p>
    <w:p>
      <w:pPr>
        <w:spacing w:after="60"/>
        <w:ind w:left="360" w:hanging="360"/>
      </w:pPr>
      <w:r>
        <w:t xml:space="preserve">•</w:t>
      </w:r>
      <w:r>
        <w:tab/>
      </w:r>
      <w:r>
        <w:t xml:space="preserve">Voonix — voonix.com — high-volume EMEA partners</w:t>
      </w:r>
    </w:p>
    <w:p>
      <w:pPr>
        <w:spacing w:after="60"/>
        <w:ind w:left="360" w:hanging="360"/>
      </w:pPr>
      <w:r>
        <w:t xml:space="preserve">•</w:t>
      </w:r>
      <w:r>
        <w:tab/>
      </w:r>
      <w:r>
        <w:t xml:space="preserve">NiftyStats — niftystats.com — legacy desktop tool, popular with pros</w:t>
      </w:r>
    </w:p>
    <w:p>
      <w:pPr>
        <w:pStyle w:val="Heading2"/>
      </w:pPr>
      <w:r>
        <w:t xml:space="preserve">Enterprise sub-networks (instant access to many brands)</w:t>
      </w:r>
    </w:p>
    <w:p>
      <w:pPr>
        <w:spacing w:after="60"/>
        <w:ind w:left="360" w:hanging="360"/>
      </w:pPr>
      <w:r>
        <w:t xml:space="preserve">•</w:t>
      </w:r>
      <w:r>
        <w:tab/>
      </w:r>
      <w:r>
        <w:t xml:space="preserve">Mitgo / TakeAds — takeads.com — cookieless evolution of Admitad; large DE/MENA inventory</w:t>
      </w:r>
    </w:p>
    <w:p>
      <w:pPr>
        <w:spacing w:after="60"/>
        <w:ind w:left="360" w:hanging="360"/>
      </w:pPr>
      <w:r>
        <w:t xml:space="preserve">•</w:t>
      </w:r>
      <w:r>
        <w:tab/>
      </w:r>
      <w:r>
        <w:t xml:space="preserve">Digidip — digidip.com — DE HQ, content monetisation</w:t>
      </w:r>
    </w:p>
    <w:p>
      <w:pPr>
        <w:spacing w:after="60"/>
        <w:ind w:left="360" w:hanging="360"/>
      </w:pPr>
      <w:r>
        <w:t xml:space="preserve">•</w:t>
      </w:r>
      <w:r>
        <w:tab/>
      </w:r>
      <w:r>
        <w:t xml:space="preserve">Yieldkit — yieldkit.com — Hamburg; commerce content</w:t>
      </w:r>
    </w:p>
    <w:p>
      <w:pPr>
        <w:spacing w:after="60"/>
        <w:ind w:left="360" w:hanging="360"/>
      </w:pPr>
      <w:r>
        <w:t xml:space="preserve">•</w:t>
      </w:r>
      <w:r>
        <w:tab/>
      </w:r>
      <w:r>
        <w:t xml:space="preserve">Skimlinks — skimlinks.com — London; text-to-affiliate standard</w:t>
      </w:r>
    </w:p>
    <w:p>
      <w:pPr>
        <w:spacing w:after="60"/>
        <w:ind w:left="360" w:hanging="360"/>
      </w:pPr>
      <w:r>
        <w:t xml:space="preserve">•</w:t>
      </w:r>
      <w:r>
        <w:tab/>
      </w:r>
      <w:r>
        <w:t xml:space="preserve">Sovrn (ex-VigLink) — sovrn.com — global, strong EMEA base</w:t>
      </w:r>
    </w:p>
    <w:p>
      <w:pPr>
        <w:spacing w:after="60"/>
        <w:ind w:left="360" w:hanging="360"/>
      </w:pPr>
      <w:r>
        <w:t xml:space="preserve">•</w:t>
      </w:r>
      <w:r>
        <w:tab/>
      </w:r>
      <w:r>
        <w:t xml:space="preserve">Brandreward — brandreward.com — hard-to-access EMEA / global brands</w:t>
      </w:r>
    </w:p>
    <w:p>
      <w:pPr>
        <w:pStyle w:val="Heading2"/>
      </w:pPr>
      <w:r>
        <w:t xml:space="preserve">Direct EMEA networks</w:t>
      </w:r>
    </w:p>
    <w:p>
      <w:pPr>
        <w:spacing w:after="60"/>
        <w:ind w:left="360" w:hanging="360"/>
      </w:pPr>
      <w:r>
        <w:t xml:space="preserve">•</w:t>
      </w:r>
      <w:r>
        <w:tab/>
      </w:r>
      <w:r>
        <w:t xml:space="preserve">Kelkoo — kelkoogroup.com — the project’s configured primary</w:t>
      </w:r>
    </w:p>
    <w:p>
      <w:pPr>
        <w:spacing w:after="60"/>
        <w:ind w:left="360" w:hanging="360"/>
      </w:pPr>
      <w:r>
        <w:t xml:space="preserve">•</w:t>
      </w:r>
      <w:r>
        <w:tab/>
      </w:r>
      <w:r>
        <w:t xml:space="preserve">Awin — awin.com (UK/DE) — already stubbed</w:t>
      </w:r>
    </w:p>
    <w:p>
      <w:pPr>
        <w:spacing w:after="60"/>
        <w:ind w:left="360" w:hanging="360"/>
      </w:pPr>
      <w:r>
        <w:t xml:space="preserve">•</w:t>
      </w:r>
      <w:r>
        <w:tab/>
      </w:r>
      <w:r>
        <w:t xml:space="preserve">Tradedoubler — tradedoubler.com (Nordics/UK/FR) — already stubbed</w:t>
      </w:r>
    </w:p>
    <w:p>
      <w:pPr>
        <w:spacing w:after="60"/>
        <w:ind w:left="360" w:hanging="360"/>
      </w:pPr>
      <w:r>
        <w:t xml:space="preserve">•</w:t>
      </w:r>
      <w:r>
        <w:tab/>
      </w:r>
      <w:r>
        <w:t xml:space="preserve">Webgains — webgains.com (UK/DE/ES)</w:t>
      </w:r>
    </w:p>
    <w:p>
      <w:pPr>
        <w:spacing w:after="60"/>
        <w:ind w:left="360" w:hanging="360"/>
      </w:pPr>
      <w:r>
        <w:t xml:space="preserve">•</w:t>
      </w:r>
      <w:r>
        <w:tab/>
      </w:r>
      <w:r>
        <w:t xml:space="preserve">Adtraction — adtraction.com (Nordics/DACH)</w:t>
      </w:r>
    </w:p>
    <w:p>
      <w:pPr>
        <w:spacing w:after="60"/>
        <w:ind w:left="360" w:hanging="360"/>
      </w:pPr>
      <w:r>
        <w:t xml:space="preserve">•</w:t>
      </w:r>
      <w:r>
        <w:tab/>
      </w:r>
      <w:r>
        <w:t xml:space="preserve">Effiliation — effiliation.com (FR)</w:t>
      </w:r>
    </w:p>
    <w:p>
      <w:pPr>
        <w:spacing w:after="60"/>
        <w:ind w:left="360" w:hanging="360"/>
      </w:pPr>
      <w:r>
        <w:t xml:space="preserve">•</w:t>
      </w:r>
      <w:r>
        <w:tab/>
      </w:r>
      <w:r>
        <w:t xml:space="preserve">Belboon — belboon.com (DE)</w:t>
      </w:r>
    </w:p>
    <w:p>
      <w:pPr>
        <w:spacing w:after="60"/>
        <w:ind w:left="360" w:hanging="360"/>
      </w:pPr>
      <w:r>
        <w:t xml:space="preserve">•</w:t>
      </w:r>
      <w:r>
        <w:tab/>
      </w:r>
      <w:r>
        <w:t xml:space="preserve">TradeTracker — tradetracker.com (Benelux/UK)</w:t>
      </w:r>
    </w:p>
    <w:p>
      <w:pPr>
        <w:pStyle w:val="Heading1"/>
      </w:pPr>
      <w:r>
        <w:t xml:space="preserve">7. How this differs from the original plan</w:t>
      </w:r>
    </w:p>
    <w:p>
      <w:pPr>
        <w:spacing w:after="120"/>
      </w:pPr>
      <w:r>
        <w:t xml:space="preserve">Corrections so future-you is not misled by the source document:</w:t>
      </w:r>
    </w:p>
    <w:p>
      <w:pPr>
        <w:spacing w:after="60"/>
        <w:ind w:left="360" w:hanging="360"/>
      </w:pPr>
      <w:r>
        <w:t xml:space="preserve">•</w:t>
      </w:r>
      <w:r>
        <w:tab/>
      </w:r>
      <w:r>
        <w:t xml:space="preserve">Primary aggregator is Kelkoo (configured), not Strackr. Strackr can be added as another provider.</w:t>
      </w:r>
    </w:p>
    <w:p>
      <w:pPr>
        <w:spacing w:after="60"/>
        <w:ind w:left="360" w:hanging="360"/>
      </w:pPr>
      <w:r>
        <w:t xml:space="preserve">•</w:t>
      </w:r>
      <w:r>
        <w:tab/>
      </w:r>
      <w:r>
        <w:t xml:space="preserve">Types use NormalizedDeal (src/lib/providers/types.ts), not a “DealInput”.</w:t>
      </w:r>
    </w:p>
    <w:p>
      <w:pPr>
        <w:spacing w:after="60"/>
        <w:ind w:left="360" w:hanging="360"/>
      </w:pPr>
      <w:r>
        <w:t xml:space="preserve">•</w:t>
      </w:r>
      <w:r>
        <w:tab/>
      </w:r>
      <w:r>
        <w:t xml:space="preserve">Paths: the deals repo is src/lib/db/deals.repo.ts (not .../repos/...); providers live in src/lib/providers/*.</w:t>
      </w:r>
    </w:p>
    <w:p>
      <w:pPr>
        <w:spacing w:after="60"/>
        <w:ind w:left="360" w:hanging="360"/>
      </w:pPr>
      <w:r>
        <w:t xml:space="preserve">•</w:t>
      </w:r>
      <w:r>
        <w:tab/>
      </w:r>
      <w:r>
        <w:t xml:space="preserve">Dedup key is product_id (provider-prefixed), not a separate affiliate_network + native_product_id pair. The schema already has the needed columns.</w:t>
      </w:r>
    </w:p>
    <w:p>
      <w:pPr>
        <w:spacing w:after="60"/>
        <w:ind w:left="360" w:hanging="360"/>
      </w:pPr>
      <w:r>
        <w:t xml:space="preserve">•</w:t>
      </w:r>
      <w:r>
        <w:tab/>
      </w:r>
      <w:r>
        <w:t xml:space="preserve">No ean_code / tracking_url columns: the app stores raw shop_url and decorates affiliate links at render.</w:t>
      </w:r>
    </w:p>
    <w:p>
      <w:pPr>
        <w:spacing w:after="60"/>
        <w:ind w:left="360" w:hanging="360"/>
      </w:pPr>
      <w:r>
        <w:t xml:space="preserve">•</w:t>
      </w:r>
      <w:r>
        <w:tab/>
      </w:r>
      <w:r>
        <w:t xml:space="preserve">No per-deal pages: the detail view is a modal, so AI / JSON-LD work needs pages added or listing-level injection.</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Arial" w:hAnsi="Arial" w:cs="Arial"/>
        <w:sz w:val="22"/>
        <w:szCs w:val="22"/>
      </w:rPr>
    </w:rPrDefault>
  </w:docDefaults>
  <w:style w:type="paragraph" w:default="1" w:styleId="Normal">
    <w:name w:val="Normal"/>
  </w:style>
  <w:style w:type="paragraph" w:styleId="Title">
    <w:name w:val="Title"/>
    <w:basedOn w:val="Normal"/>
    <w:pPr>
      <w:spacing w:after="200"/>
    </w:pPr>
    <w:rPr>
      <w:b/>
      <w:sz w:val="46"/>
      <w:color w:val="C2410C"/>
    </w:rPr>
  </w:style>
  <w:style w:type="paragraph" w:styleId="Heading1">
    <w:name w:val="heading 1"/>
    <w:basedOn w:val="Normal"/>
    <w:next w:val="Normal"/>
    <w:pPr>
      <w:spacing w:before="320" w:after="120"/>
      <w:outlineLvl w:val="0"/>
    </w:pPr>
    <w:rPr>
      <w:b/>
      <w:sz w:val="30"/>
      <w:color w:val="C2410C"/>
    </w:rPr>
  </w:style>
  <w:style w:type="paragraph" w:styleId="Heading2">
    <w:name w:val="heading 2"/>
    <w:basedOn w:val="Normal"/>
    <w:next w:val="Normal"/>
    <w:pPr>
      <w:spacing w:before="200" w:after="80"/>
      <w:outlineLvl w:val="1"/>
    </w:pPr>
    <w:rPr>
      <w:b/>
      <w:sz w:val="25"/>
      <w:color w:val="1F2937"/>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