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400"/>
        <w:jc w:val="center"/>
      </w:pPr>
      <w:r>
        <w:rPr>
          <w:rFonts w:ascii="Arial" w:cs="Arial" w:eastAsia="Arial" w:hAnsi="Arial"/>
          <w:b/>
          <w:bCs/>
          <w:sz w:val="36"/>
          <w:szCs w:val="36"/>
        </w:rPr>
        <w:t xml:space="preserve">Predicting Customer Churn in the Telecommunications Sector:</w:t>
      </w:r>
    </w:p>
    <w:p>
      <w:pPr>
        <w:spacing w:after="800"/>
        <w:jc w:val="center"/>
      </w:pPr>
      <w:r>
        <w:rPr>
          <w:rFonts w:ascii="Arial" w:cs="Arial" w:eastAsia="Arial" w:hAnsi="Arial"/>
          <w:b/>
          <w:bCs/>
          <w:color w:val="1F3864"/>
          <w:sz w:val="30"/>
          <w:szCs w:val="30"/>
        </w:rPr>
        <w:t xml:space="preserve">A Comparative Study of Classical Machine Learning and Deep Learning Approaches</w:t>
      </w:r>
    </w:p>
    <w:p>
      <w:pPr>
        <w:spacing w:after="200"/>
        <w:jc w:val="center"/>
      </w:pPr>
      <w:r>
        <w:rPr>
          <w:rFonts w:ascii="Arial" w:cs="Arial" w:eastAsia="Arial" w:hAnsi="Arial"/>
          <w:sz w:val="24"/>
          <w:szCs w:val="24"/>
        </w:rPr>
        <w:t xml:space="preserve">[Your Full Name]</w:t>
      </w:r>
    </w:p>
    <w:p>
      <w:pPr>
        <w:spacing w:after="200"/>
        <w:jc w:val="center"/>
      </w:pPr>
      <w:r>
        <w:rPr>
          <w:rFonts w:ascii="Arial" w:cs="Arial" w:eastAsia="Arial" w:hAnsi="Arial"/>
          <w:color w:val="555555"/>
          <w:sz w:val="22"/>
          <w:szCs w:val="22"/>
        </w:rPr>
        <w:t xml:space="preserve">[Course Name / Module: Introduction to Machine Learning]</w:t>
      </w:r>
    </w:p>
    <w:p>
      <w:pPr>
        <w:spacing w:after="200"/>
        <w:jc w:val="center"/>
      </w:pPr>
      <w:r>
        <w:rPr>
          <w:rFonts w:ascii="Arial" w:cs="Arial" w:eastAsia="Arial" w:hAnsi="Arial"/>
          <w:color w:val="555555"/>
          <w:sz w:val="22"/>
          <w:szCs w:val="22"/>
        </w:rPr>
        <w:t xml:space="preserve">[Institution Name]</w:t>
      </w:r>
    </w:p>
    <w:p>
      <w:pPr>
        <w:spacing w:after="1200"/>
        <w:jc w:val="center"/>
      </w:pPr>
      <w:r>
        <w:rPr>
          <w:rFonts w:ascii="Arial" w:cs="Arial" w:eastAsia="Arial" w:hAnsi="Arial"/>
          <w:color w:val="555555"/>
          <w:sz w:val="22"/>
          <w:szCs w:val="22"/>
        </w:rPr>
        <w:t xml:space="preserve">June 2026</w:t>
      </w:r>
    </w:p>
    <w:p>
      <w:pPr>
        <w:spacing w:after="80"/>
        <w:jc w:val="center"/>
      </w:pPr>
      <w:r>
        <w:rPr>
          <w:rFonts w:ascii="Arial" w:cs="Arial" w:eastAsia="Arial" w:hAnsi="Arial"/>
          <w:sz w:val="20"/>
          <w:szCs w:val="20"/>
        </w:rPr>
        <w:t xml:space="preserve">GitHub repository: </w:t>
      </w:r>
      <w:hyperlink w:history="1" r:id="rIdyqapljs0fqjctghuqsy27">
        <w:r>
          <w:rPr>
            <w:rStyle w:val="Hyperlink"/>
            <w:rFonts w:ascii="Arial" w:cs="Arial" w:eastAsia="Arial" w:hAnsi="Arial"/>
            <w:sz w:val="20"/>
            <w:szCs w:val="20"/>
          </w:rPr>
          <w:t xml:space="preserve">[link to your repo]</w:t>
        </w:r>
      </w:hyperlink>
    </w:p>
    <w:p>
      <w:pPr>
        <w:spacing w:after="80"/>
        <w:jc w:val="center"/>
      </w:pPr>
      <w:r>
        <w:rPr>
          <w:rFonts w:ascii="Arial" w:cs="Arial" w:eastAsia="Arial" w:hAnsi="Arial"/>
          <w:sz w:val="20"/>
          <w:szCs w:val="20"/>
        </w:rPr>
        <w:t xml:space="preserve">Presentation video: </w:t>
      </w:r>
      <w:hyperlink w:history="1" r:id="rIdmupdmbxyx4p2bq-lhx_7u">
        <w:r>
          <w:rPr>
            <w:rStyle w:val="Hyperlink"/>
            <w:rFonts w:ascii="Arial" w:cs="Arial" w:eastAsia="Arial" w:hAnsi="Arial"/>
            <w:sz w:val="20"/>
            <w:szCs w:val="20"/>
          </w:rPr>
          <w:t xml:space="preserve">[link to your video]</w:t>
        </w:r>
      </w:hyperlink>
    </w:p>
    <w:p>
      <w:r>
        <w:br w:type="page"/>
      </w:r>
    </w:p>
    <w:p>
      <w:pPr>
        <w:pStyle w:val="Heading1"/>
        <w:spacing w:after="200" w:before="360"/>
      </w:pPr>
      <w:r>
        <w:t xml:space="preserve">Abstract</w:t>
      </w:r>
    </w:p>
    <w:p>
      <w:pPr>
        <w:spacing w:after="200" w:line="360"/>
        <w:jc w:val="both"/>
      </w:pPr>
      <w:r>
        <w:rPr>
          <w:rFonts w:ascii="Arial" w:cs="Arial" w:eastAsia="Arial" w:hAnsi="Arial"/>
          <w:b w:val="false"/>
          <w:bCs w:val="false"/>
          <w:i w:val="false"/>
          <w:iCs w:val="false"/>
          <w:sz w:val="21"/>
          <w:szCs w:val="21"/>
        </w:rPr>
        <w:t xml:space="preserve">Customer churn — the loss of subscribers to competing providers — directly erodes recurring revenue in the telecommunications industry, where acquiring a new customer is widely reported to cost several times more than retaining an existing one. This study builds and compares eight churn-prediction experiments on the IBM Telco Customer Churn dataset (7,043 customers, 19 raw predictors), spanning four classical machine learning models (Logistic Regression, two Random Forest configurations, and Gradient Boosting) and four deep neural network architectures built with TensorFlow/Keras using both the Sequential and Functional APIs, fed through a tf.data input pipeline. After cleaning, encoding, scaling, and engineering three composite features, models were trained on an 80/20 stratified split and evaluated using accuracy, precision, recall, F1-score, and ROC-AUC, since the target is moderately imbalanced (73.5% retained, 26.5% churned). Logistic Regression and a hyperparameter-tuned Random Forest achieved the strongest discriminative ability among the classical models (ROC-AUC of 0.847 and 0.845 respectively), each substantially outperforming the default Random Forest on recall once class weighting was applied. A 5-fold learning curve on the tuned Random Forest showed a train-validation F1 gap below 0.03 at full training size, indicating the model generalises well rather than memorising the training set. Tenure, contract type, total charges, and fiber-optic internet subscription emerged as the dominant churn drivers, consistent with prior telecom churn literature. The comparison with the deep learning experiments, and the corresponding error analysis, is presented in Section 5. The results suggest that on a tabular dataset of this size and feature richness, well-regularised classical ensembles remain highly competitive with, and in some respects preferable to, deep neural networks — a finding with direct implications for telecom operators who must balance predictive accuracy against interpretability and deployment cost.</w:t>
      </w:r>
    </w:p>
    <w:p>
      <w:pPr>
        <w:spacing w:after="100" w:line="360"/>
        <w:jc w:val="both"/>
      </w:pPr>
      <w:r>
        <w:rPr>
          <w:rFonts w:ascii="Arial" w:cs="Arial" w:eastAsia="Arial" w:hAnsi="Arial"/>
          <w:b w:val="false"/>
          <w:bCs w:val="false"/>
          <w:i/>
          <w:iCs/>
          <w:sz w:val="21"/>
          <w:szCs w:val="21"/>
        </w:rPr>
        <w:t xml:space="preserve">Keywords: customer churn, telecommunications, machine learning, deep learning, Random Forest, neural networks, class imbalance, feature engineering.</w:t>
      </w:r>
    </w:p>
    <w:p>
      <w:r>
        <w:br w:type="page"/>
      </w:r>
    </w:p>
    <w:p>
      <w:pPr>
        <w:pStyle w:val="Heading1"/>
        <w:spacing w:after="200" w:before="36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t xml:space="preserve">1. Introduction</w:t>
      </w:r>
    </w:p>
    <w:p>
      <w:pPr>
        <w:pStyle w:val="Heading2"/>
        <w:spacing w:after="160" w:before="280"/>
      </w:pPr>
      <w:r>
        <w:t xml:space="preserve">1.1 Background and Motivation</w:t>
      </w:r>
    </w:p>
    <w:p>
      <w:pPr>
        <w:spacing w:after="200" w:line="360"/>
        <w:jc w:val="both"/>
      </w:pPr>
      <w:r>
        <w:rPr>
          <w:rFonts w:ascii="Arial" w:cs="Arial" w:eastAsia="Arial" w:hAnsi="Arial"/>
          <w:b w:val="false"/>
          <w:bCs w:val="false"/>
          <w:i w:val="false"/>
          <w:iCs w:val="false"/>
          <w:sz w:val="22"/>
          <w:szCs w:val="22"/>
        </w:rPr>
        <w:t xml:space="preserve">Subscription-based telecommunications providers operate in markets where customers face low switching costs and abundant competing offers. In this environment, customer attrition — commonly termed "churn" — is one of the most direct threats to recurring revenue. Industry analyses consistently report that acquiring a new subscriber costs several times more than retaining an existing one, which makes early identification of at-risk customers a high-value problem: a retention team that can act on an accurate churn signal can target incentives narrowly instead of running blanket campaigns.</w:t>
      </w:r>
    </w:p>
    <w:p>
      <w:pPr>
        <w:spacing w:after="200" w:line="360"/>
        <w:jc w:val="both"/>
      </w:pPr>
      <w:r>
        <w:rPr>
          <w:rFonts w:ascii="Arial" w:cs="Arial" w:eastAsia="Arial" w:hAnsi="Arial"/>
          <w:b w:val="false"/>
          <w:bCs w:val="false"/>
          <w:i w:val="false"/>
          <w:iCs w:val="false"/>
          <w:sz w:val="22"/>
          <w:szCs w:val="22"/>
        </w:rPr>
        <w:t xml:space="preserve">This project treats churn prediction as a binary classification problem and asks a comparative question rather than a purely predictive one: given the same cleaned, engineered feature set, does a deep neural network outperform a well-tuned classical ensemble on a dataset of this size and structure, or does the added capacity of deep learning go largely unused on tabular, moderately-sized data? Answering this matters practically as well as academically, because deep learning models are markedly more expensive to train, tune, and explain than tree ensembles, so the choice has real operational consequences for a telecom data team deciding where to invest engineering effort.</w:t>
      </w:r>
    </w:p>
    <w:p>
      <w:pPr>
        <w:pStyle w:val="Heading2"/>
        <w:spacing w:after="160" w:before="280"/>
      </w:pPr>
      <w:r>
        <w:t xml:space="preserve">1.2 Problem Statement and Mission Alignment</w:t>
      </w:r>
    </w:p>
    <w:p>
      <w:pPr>
        <w:spacing w:after="200" w:line="360"/>
        <w:jc w:val="both"/>
      </w:pPr>
      <w:r>
        <w:rPr>
          <w:rFonts w:ascii="Arial" w:cs="Arial" w:eastAsia="Arial" w:hAnsi="Arial"/>
          <w:b w:val="false"/>
          <w:bCs w:val="false"/>
          <w:i w:val="false"/>
          <w:iCs w:val="false"/>
          <w:sz w:val="22"/>
          <w:szCs w:val="22"/>
        </w:rPr>
        <w:t xml:space="preserve">The specific problem addressed here is: predict whether an individual telecom customer will churn within the observed billing period, using only account, demographic, and service-subscription attributes available at the time of prediction — without any usage-pattern or customer-service-interaction history, which the dataset does not contain. This constraint is intentional: it tests how much signal is recoverable from the kind of administrative data nearly every telecom already has in its billing system, rather than data that requires additional instrumentation to collect.</w:t>
      </w:r>
    </w:p>
    <w:p>
      <w:pPr>
        <w:spacing w:after="200" w:line="360"/>
        <w:jc w:val="both"/>
      </w:pPr>
      <w:r>
        <w:rPr>
          <w:rFonts w:ascii="Arial" w:cs="Arial" w:eastAsia="Arial" w:hAnsi="Arial"/>
          <w:b w:val="false"/>
          <w:bCs w:val="false"/>
          <w:i w:val="false"/>
          <w:iCs w:val="false"/>
          <w:sz w:val="22"/>
          <w:szCs w:val="22"/>
        </w:rPr>
        <w:t xml:space="preserve">The problem aligns with a broader interest in using data-driven methods to support more efficient, less wasteful business operations: every customer who churns unexpectedly represents not just lost revenue but also wasted prior investment in acquisition, onboarding, and infrastructure provisioning for that customer. A reliable, interpretable churn model lets a company redirect retention spending toward the customers most likely to need it, which is a small-scale instance of the same resource-allocation efficiency that motivates predictive maintenance, demand forecasting, and other applied ML problems in operations research.</w:t>
      </w:r>
    </w:p>
    <w:p>
      <w:pPr>
        <w:pStyle w:val="Heading2"/>
        <w:spacing w:after="160" w:before="280"/>
      </w:pPr>
      <w:r>
        <w:t xml:space="preserve">1.3 Objectives</w:t>
      </w:r>
    </w:p>
    <w:p>
      <w:pPr>
        <w:pStyle w:val="ListParagraph"/>
        <w:numPr>
          <w:ilvl w:val="0"/>
          <w:numId w:val="2"/>
        </w:numPr>
        <w:spacing w:after="120"/>
      </w:pPr>
      <w:r>
        <w:rPr>
          <w:rFonts w:ascii="Arial" w:cs="Arial" w:eastAsia="Arial" w:hAnsi="Arial"/>
          <w:sz w:val="22"/>
          <w:szCs w:val="22"/>
        </w:rPr>
        <w:t xml:space="preserve">Build a single, reproducible preprocessing pipeline that supports both classical Scikit-learn estimators and TensorFlow/Keras neural networks without divergent feature representations.</w:t>
      </w:r>
    </w:p>
    <w:p>
      <w:pPr>
        <w:pStyle w:val="ListParagraph"/>
        <w:numPr>
          <w:ilvl w:val="0"/>
          <w:numId w:val="2"/>
        </w:numPr>
        <w:spacing w:after="120"/>
      </w:pPr>
      <w:r>
        <w:rPr>
          <w:rFonts w:ascii="Arial" w:cs="Arial" w:eastAsia="Arial" w:hAnsi="Arial"/>
          <w:sz w:val="22"/>
          <w:szCs w:val="22"/>
        </w:rPr>
        <w:t xml:space="preserve">Implement and tune at least four classical ML experiments and four deep learning experiments (Sequential and Functional APIs, fed through tf.data), for a total of eight systematically varied experiments.</w:t>
      </w:r>
    </w:p>
    <w:p>
      <w:pPr>
        <w:pStyle w:val="ListParagraph"/>
        <w:numPr>
          <w:ilvl w:val="0"/>
          <w:numId w:val="2"/>
        </w:numPr>
        <w:spacing w:after="120"/>
      </w:pPr>
      <w:r>
        <w:rPr>
          <w:rFonts w:ascii="Arial" w:cs="Arial" w:eastAsia="Arial" w:hAnsi="Arial"/>
          <w:sz w:val="22"/>
          <w:szCs w:val="22"/>
        </w:rPr>
        <w:t xml:space="preserve">Evaluate every experiment on accuracy, precision, recall, F1-score, and ROC-AUC, given the moderate class imbalance in the target variable.</w:t>
      </w:r>
    </w:p>
    <w:p>
      <w:pPr>
        <w:pStyle w:val="ListParagraph"/>
        <w:numPr>
          <w:ilvl w:val="0"/>
          <w:numId w:val="2"/>
        </w:numPr>
        <w:spacing w:after="120"/>
      </w:pPr>
      <w:r>
        <w:rPr>
          <w:rFonts w:ascii="Arial" w:cs="Arial" w:eastAsia="Arial" w:hAnsi="Arial"/>
          <w:sz w:val="22"/>
          <w:szCs w:val="22"/>
        </w:rPr>
        <w:t xml:space="preserve">Identify the dominant churn drivers using feature importance analysis, and connect them to the existing telecom churn literature.</w:t>
      </w:r>
    </w:p>
    <w:p>
      <w:pPr>
        <w:pStyle w:val="ListParagraph"/>
        <w:numPr>
          <w:ilvl w:val="0"/>
          <w:numId w:val="2"/>
        </w:numPr>
        <w:spacing w:after="120"/>
      </w:pPr>
      <w:r>
        <w:rPr>
          <w:rFonts w:ascii="Arial" w:cs="Arial" w:eastAsia="Arial" w:hAnsi="Arial"/>
          <w:sz w:val="22"/>
          <w:szCs w:val="22"/>
        </w:rPr>
        <w:t xml:space="preserve">Critically analyse error patterns, bias-variance behaviour, and the limitations of a static, single-snapshot dataset for this task.</w:t>
      </w:r>
    </w:p>
    <w:p>
      <w:pPr>
        <w:pStyle w:val="Heading2"/>
        <w:spacing w:after="160" w:before="280"/>
      </w:pPr>
      <w:r>
        <w:t xml:space="preserve">1.4 Report Structure</w:t>
      </w:r>
    </w:p>
    <w:p>
      <w:pPr>
        <w:spacing w:after="200" w:line="360"/>
        <w:jc w:val="both"/>
      </w:pPr>
      <w:r>
        <w:rPr>
          <w:rFonts w:ascii="Arial" w:cs="Arial" w:eastAsia="Arial" w:hAnsi="Arial"/>
          <w:b w:val="false"/>
          <w:bCs w:val="false"/>
          <w:i w:val="false"/>
          <w:iCs w:val="false"/>
          <w:sz w:val="22"/>
          <w:szCs w:val="22"/>
        </w:rPr>
        <w:t xml:space="preserve">Section 2 reviews prior work on churn prediction with classical ML and deep learning, identifying the gap this project addresses. Section 3 describes the dataset, preprocessing, and feature engineering. Section 4 reports the eight experiments and their results in a structured comparison table. Section 5 discusses model evaluation, error analysis, and dataset limitations in depth. Section 6 concludes with practical recommendations and directions for future work.</w:t>
      </w:r>
    </w:p>
    <w:p>
      <w:pPr>
        <w:pStyle w:val="Heading1"/>
        <w:spacing w:after="200" w:before="360"/>
      </w:pPr>
      <w:r>
        <w:t xml:space="preserve">2. Literature Review</w:t>
      </w:r>
    </w:p>
    <w:p>
      <w:pPr>
        <w:pStyle w:val="Heading2"/>
        <w:spacing w:after="160" w:before="280"/>
      </w:pPr>
      <w:r>
        <w:t xml:space="preserve">2.1 Classical Machine Learning Approaches to Churn</w:t>
      </w:r>
    </w:p>
    <w:p>
      <w:pPr>
        <w:spacing w:after="200" w:line="360"/>
        <w:jc w:val="both"/>
      </w:pPr>
      <w:r>
        <w:rPr>
          <w:rFonts w:ascii="Arial" w:cs="Arial" w:eastAsia="Arial" w:hAnsi="Arial"/>
          <w:b w:val="false"/>
          <w:bCs w:val="false"/>
          <w:i w:val="false"/>
          <w:iCs w:val="false"/>
          <w:sz w:val="22"/>
          <w:szCs w:val="22"/>
        </w:rPr>
        <w:t xml:space="preserve">A substantial body of work has applied classical supervised learning to telecom churn. Khodabandehlou and Zivari Rahman [1] compared several supervised classifiers on customer behaviour data and found tree-based methods consistently ahead of simpler linear models, a pattern echoed by Irfan et al. [2], who used Random Forest specifically for both prediction and churn-factor identification in the telecom sector and reported it as a strong, interpretable baseline. Xia, Cui, and Duan [3] reached a similar conclusion analysing telecom churn with multiple ML algorithms, while a more recent comparative study restricted to Logistic Regression, Random Forest, and Extreme Gradient Boosting found that a tuned XGBoost model dominated on every metric reported — accuracy, precision, recall, F1, and ROC-AUC — and that contract type, tenure, and monthly fee were its three most important features [4]. That last finding is a useful external check on this project's own feature-importance results in Section 4.6, since the two studies use overlapping but not identical features and still converge on the same top drivers.</w:t>
      </w:r>
    </w:p>
    <w:p>
      <w:pPr>
        <w:spacing w:after="200" w:line="360"/>
        <w:jc w:val="both"/>
      </w:pPr>
      <w:r>
        <w:rPr>
          <w:rFonts w:ascii="Arial" w:cs="Arial" w:eastAsia="Arial" w:hAnsi="Arial"/>
          <w:b w:val="false"/>
          <w:bCs w:val="false"/>
          <w:i w:val="false"/>
          <w:iCs w:val="false"/>
          <w:sz w:val="22"/>
          <w:szCs w:val="22"/>
        </w:rPr>
        <w:t xml:space="preserve">Ensemble and hybrid classical methods recur throughout the literature. Tang, Xia, and Zhang [5] proposed a hybrid churn classifier built on customer clustering before classification, and a systematic review of recent advances in the field [6] surveys several stacking and clustering-augmented ensembles, reporting accuracy gains of several percentage points over single models on benchmark telecom datasets such as Orange and Cell2Cell. The same review also documents a persistent theme relevant to this project: class imbalance handling (via SMOTE, ENN, or class weighting) is treated as a near-mandatory preprocessing step rather than an optional refinement, because raw accuracy is misleading when churners are a minority class — precisely the imbalance ratio (~73:27) observed in this project's dataset. A study explicitly comparing data-balancing strategies for telecom churn [7] reports that Random Forest, after balancing, outperformed Decision Tree, KNN, SVM, Logistic Regression, and several boosting variants, reinforcing Random Forest's recurring status as a strong default classical baseline in this domain — and motivating this project's decision to include both a default and a hyperparameter-tuned Random Forest as separate experiments, to isolate how much of that strength comes from tuning rather than the algorithm alone.</w:t>
      </w:r>
    </w:p>
    <w:p>
      <w:pPr>
        <w:pStyle w:val="Heading2"/>
        <w:spacing w:after="160" w:before="280"/>
      </w:pPr>
      <w:r>
        <w:t xml:space="preserve">2.2 Deep Learning Approaches to Churn</w:t>
      </w:r>
    </w:p>
    <w:p>
      <w:pPr>
        <w:spacing w:after="200" w:line="360"/>
        <w:jc w:val="both"/>
      </w:pPr>
      <w:r>
        <w:rPr>
          <w:rFonts w:ascii="Arial" w:cs="Arial" w:eastAsia="Arial" w:hAnsi="Arial"/>
          <w:b w:val="false"/>
          <w:bCs w:val="false"/>
          <w:i w:val="false"/>
          <w:iCs w:val="false"/>
          <w:sz w:val="22"/>
          <w:szCs w:val="22"/>
        </w:rPr>
        <w:t xml:space="preserve">Deep learning has been applied to churn with mixed but generally favourable results when sufficient data and engineered features are available. Nigam, Dugar, and Niranjanamurthy [8] built a deep neural network specifically for telecom churn and reported it outperforming classical baselines on their dataset, while Fujo, Subramanian, and Khder [9] likewise found deep learning competitive for telecom churn classification. A composite deep learning technique proposed by Khattak et al. [10], combining multiple network types, reported strong precision and recall figures and explicitly recommended further feature selection and clustering to push performance higher still — a recommendation this project follows by engineering composite features (Section 3.3) before any model, classical or deep, sees the data. At larger scale, Ahmad, Jafar, and Aljoumaa [11] achieved a notably high AUC (0.933) on a real-world telecom big-data platform, but did so using social-network-derived features unavailable in smaller, publicly released datasets like the one used here — a gap this project's discussion (Section 5.4) returns to when assessing why deep learning's advantage may not transfer cleanly to a 7,043-row, feature-limited dataset.</w:t>
      </w:r>
    </w:p>
    <w:p>
      <w:pPr>
        <w:spacing w:after="200" w:line="360"/>
        <w:jc w:val="both"/>
      </w:pPr>
      <w:r>
        <w:rPr>
          <w:rFonts w:ascii="Arial" w:cs="Arial" w:eastAsia="Arial" w:hAnsi="Arial"/>
          <w:b w:val="false"/>
          <w:bCs w:val="false"/>
          <w:i w:val="false"/>
          <w:iCs w:val="false"/>
          <w:sz w:val="22"/>
          <w:szCs w:val="22"/>
        </w:rPr>
        <w:t xml:space="preserve">A recent comprehensive review of DL-based churn prediction [12] surveys recurrent, convolutional, and transformer-based churn models and argues that DL's principal advantage emerges when the input includes sequential or unstructured behavioural data (call logs, usage time series, support transcripts) rather than the kind of single-row, snapshot tabular records used in this project. This distinction is central to the present study's research question: it predicts that on snapshot tabular data, the gap between classical ensembles and feedforward neural networks should be small, since neither architecture can exploit a temporal or sequential structure that the data does not contain. Choudhari, Balani, and Jha [13] reported improved churn accuracy using neural networks specifically, but Almufadi et al. [14] caution that DL models for churn require careful regularisation to avoid overfitting on datasets in the thousands-of-rows range — directly motivating this project's inclusion of Dropout (Experiment 7) and Batch Normalization (Experiment 8) as explicit architectural variations rather than training a single, unregularised network.</w:t>
      </w:r>
    </w:p>
    <w:p>
      <w:pPr>
        <w:pStyle w:val="Heading2"/>
        <w:spacing w:after="160" w:before="280"/>
      </w:pPr>
      <w:r>
        <w:t xml:space="preserve">2.3 Regularisation Theory Underpinning the Deep Learning Experiments</w:t>
      </w:r>
    </w:p>
    <w:p>
      <w:pPr>
        <w:spacing w:after="200" w:line="360"/>
        <w:jc w:val="both"/>
      </w:pPr>
      <w:r>
        <w:rPr>
          <w:rFonts w:ascii="Arial" w:cs="Arial" w:eastAsia="Arial" w:hAnsi="Arial"/>
          <w:b w:val="false"/>
          <w:bCs w:val="false"/>
          <w:i w:val="false"/>
          <w:iCs w:val="false"/>
          <w:sz w:val="22"/>
          <w:szCs w:val="22"/>
        </w:rPr>
        <w:t xml:space="preserve">The two regularisation techniques used in this project's deep learning experiments have well-established theoretical grounding. Dropout, introduced by Srivastava et al. and discussed extensively in subsequent empirical work [15], randomly deactivates a fraction of neurons at each training step, which prevents units from co-adapting and forces the network to learn redundant, distributed representations rather than relying on any single high-capacity pathway. Batch Normalization, introduced by Ioffe and Szegedy [16], normalises layer inputs to stabilise the distribution of activations during training; it was designed primarily to accelerate convergence by reducing internal covariate shift, but is also reported to have a secondary regularising effect because the per-batch statistics introduce a small amount of noise into training, similarly to Dropout. Garbin et al.'s empirical comparison of the two techniques [17] found that their effects are not strictly additive and can occasionally conflict depending on architecture and learning rate, which is why this project tests them as separate experiments (Exp 7: Dropout only; Exp 8: BatchNorm, via the Functional API) rather than combining both into a single confounded model.</w:t>
      </w:r>
    </w:p>
    <w:p>
      <w:pPr>
        <w:pStyle w:val="Heading2"/>
        <w:spacing w:after="160" w:before="280"/>
      </w:pPr>
      <w:r>
        <w:t xml:space="preserve">2.4 Identified Gap and Contribution of This Study</w:t>
      </w:r>
    </w:p>
    <w:p>
      <w:pPr>
        <w:spacing w:after="200" w:line="360"/>
        <w:jc w:val="both"/>
      </w:pPr>
      <w:r>
        <w:rPr>
          <w:rFonts w:ascii="Arial" w:cs="Arial" w:eastAsia="Arial" w:hAnsi="Arial"/>
          <w:b w:val="false"/>
          <w:bCs w:val="false"/>
          <w:i w:val="false"/>
          <w:iCs w:val="false"/>
          <w:sz w:val="22"/>
          <w:szCs w:val="22"/>
        </w:rPr>
        <w:t xml:space="preserve">Three gaps recur across the studies above. First, most papers report either a classical ML comparison or a deep learning comparison, rarely both side-by-side on the same preprocessing pipeline and the same train/test split — which makes cross-paper comparisons of "ML vs DL" unreliable, since differences in feature engineering and evaluation protocol confound the model comparison. Second, several DL studies report very high accuracy (e.g., 98%+ in some dissertations) without discussing the train/validation gap or providing a learning curve, leaving open the question of whether those figures reflect genuine generalisation or overfitting to a particular split. Third, few studies explicitly connect their results back to a bias-variance framework or use the resulting feature importances as supporting, rather than merely descriptive, evidence. This project addresses all three: it runs four classical and four deep learning experiments on an identical pipeline and split, reports a 5-fold learning curve with an explicit train-validation gap for the best classical model, and grounds its error analysis (Section 5) in both confusion-matrix-level inspection and a bias-variance interpretation of why each model family performs as it does.</w:t>
      </w:r>
    </w:p>
    <w:p>
      <w:pPr>
        <w:pStyle w:val="Heading1"/>
        <w:spacing w:after="200" w:before="360"/>
      </w:pPr>
      <w:r>
        <w:t xml:space="preserve">3. Methodology</w:t>
      </w:r>
    </w:p>
    <w:p>
      <w:pPr>
        <w:pStyle w:val="Heading2"/>
        <w:spacing w:after="160" w:before="280"/>
      </w:pPr>
      <w:r>
        <w:t xml:space="preserve">3.1 Dataset</w:t>
      </w:r>
    </w:p>
    <w:p>
      <w:pPr>
        <w:spacing w:after="200" w:line="360"/>
        <w:jc w:val="both"/>
      </w:pPr>
      <w:r>
        <w:rPr>
          <w:rFonts w:ascii="Arial" w:cs="Arial" w:eastAsia="Arial" w:hAnsi="Arial"/>
          <w:b w:val="false"/>
          <w:bCs w:val="false"/>
          <w:i w:val="false"/>
          <w:iCs w:val="false"/>
          <w:sz w:val="22"/>
          <w:szCs w:val="22"/>
        </w:rPr>
        <w:t xml:space="preserve">The dataset is the IBM Telco Customer Churn sample (WA_Fn-UseC_-Telco-Customer-Churn.csv), originally distributed by IBM as a sample dataset for its Watson Analytics tool and now widely mirrored on Kaggle under an open licence. It contains 7,043 customer records across 21 columns: a customer identifier (dropped before modelling, since it carries no predictive signal), 19 demographic, account, and service-subscription features, and the binary target Churn (Yes/No). Feature types are mixed: binary categorical (e.g., Partner, PaperlessBilling), multi-category nominal (e.g., Contract, InternetService, PaymentMethod), and numeric (tenure, MonthlyCharges, TotalCharges).</w:t>
      </w:r>
    </w:p>
    <w:p>
      <w:pPr>
        <w:pStyle w:val="Heading2"/>
        <w:spacing w:after="160" w:before="280"/>
      </w:pPr>
      <w:r>
        <w:t xml:space="preserve">3.2 Data Cleaning</w:t>
      </w:r>
    </w:p>
    <w:p>
      <w:pPr>
        <w:spacing w:after="200" w:line="360"/>
        <w:jc w:val="both"/>
      </w:pPr>
      <w:r>
        <w:rPr>
          <w:rFonts w:ascii="Arial" w:cs="Arial" w:eastAsia="Arial" w:hAnsi="Arial"/>
          <w:b w:val="false"/>
          <w:bCs w:val="false"/>
          <w:i w:val="false"/>
          <w:iCs w:val="false"/>
          <w:sz w:val="22"/>
          <w:szCs w:val="22"/>
        </w:rPr>
        <w:t xml:space="preserve">TotalCharges was loaded as a string column because eleven records contain a blank value rather than a number. Inspection confirmed that all eleven blank rows correspond to customers with tenure = 0 — that is, brand-new customers who have not yet been billed — so these were not a data-quality defect but a structurally meaningful absence. The column was coerced to numeric with errors treated as missing, and the resulting missing values were filled with 0, which is the substantively correct value for a customer who has not yet received a bill. After this step, the dataset contains zero null values across all columns.</w:t>
      </w:r>
    </w:p>
    <w:p>
      <w:pPr>
        <w:pStyle w:val="Heading2"/>
        <w:spacing w:after="160" w:before="280"/>
      </w:pPr>
      <w:r>
        <w:t xml:space="preserve">3.3 Encoding and Feature Engineering</w:t>
      </w:r>
    </w:p>
    <w:p>
      <w:pPr>
        <w:spacing w:after="200" w:line="360"/>
        <w:jc w:val="both"/>
      </w:pPr>
      <w:r>
        <w:rPr>
          <w:rFonts w:ascii="Arial" w:cs="Arial" w:eastAsia="Arial" w:hAnsi="Arial"/>
          <w:b w:val="false"/>
          <w:bCs w:val="false"/>
          <w:i w:val="false"/>
          <w:iCs w:val="false"/>
          <w:sz w:val="22"/>
          <w:szCs w:val="22"/>
        </w:rPr>
        <w:t xml:space="preserve">Five binary categorical columns (Partner, Dependents, PhoneService, PaperlessBilling, and the target Churn itself) were mapped directly to 0/1, and gender was mapped to a binary indicator. Ten multi-category nominal columns (MultipleLines, InternetService, OnlineSecurity, OnlineBackup, DeviceProtection, TechSupport, StreamingTV, StreamingMovies, Contract, and PaymentMethod) were one-hot encoded with the first category dropped to avoid collinearity, since these are unordered categories with no natural numeric scale. This expanded the dataset from 20 predictor columns to 31 after encoding.</w:t>
      </w:r>
    </w:p>
    <w:p>
      <w:pPr>
        <w:spacing w:after="200" w:line="360"/>
        <w:jc w:val="both"/>
      </w:pPr>
      <w:r>
        <w:rPr>
          <w:rFonts w:ascii="Arial" w:cs="Arial" w:eastAsia="Arial" w:hAnsi="Arial"/>
          <w:b w:val="false"/>
          <w:bCs w:val="false"/>
          <w:i w:val="false"/>
          <w:iCs w:val="false"/>
          <w:sz w:val="22"/>
          <w:szCs w:val="22"/>
        </w:rPr>
        <w:t xml:space="preserve">Three composite features were engineered on top of the encoded data, each intended to capture a higher-level risk signal that no single raw column expresses on its own: (i) Charge_per_Tenure, computed as TotalCharges divided by (tenure + 1), which approximates a customer's average historical monthly spend and is designed to surface early high-bill customers who may be more price-sensitive and churn-prone; (ii) Service_Count, a sum of the customer's "Yes" flags across the six optional add-on services, capturing how embedded a customer is in the provider's ecosystem; and (iii) Is_New_Customer, a binary flag for tenure of six months or less, since new customers are well documented in the churn literature as disproportionately likely to leave before becoming established. After feature engineering, the final feature matrix contains 33 columns.</w:t>
      </w:r>
    </w:p>
    <w:p>
      <w:pPr>
        <w:pStyle w:val="Heading2"/>
        <w:spacing w:after="160" w:before="280"/>
      </w:pPr>
      <w:r>
        <w:t xml:space="preserve">3.4 Train/Test Split and Scaling</w:t>
      </w:r>
    </w:p>
    <w:p>
      <w:pPr>
        <w:spacing w:after="200" w:line="360"/>
        <w:jc w:val="both"/>
      </w:pPr>
      <w:r>
        <w:rPr>
          <w:rFonts w:ascii="Arial" w:cs="Arial" w:eastAsia="Arial" w:hAnsi="Arial"/>
          <w:b w:val="false"/>
          <w:bCs w:val="false"/>
          <w:i w:val="false"/>
          <w:iCs w:val="false"/>
          <w:sz w:val="22"/>
          <w:szCs w:val="22"/>
        </w:rPr>
        <w:t xml:space="preserve">Data was split 80/20 into training (5,634 rows) and test (1,409 rows) sets using stratified sampling on the target, which preserved the original 73.5%/26.5% class ratio in both partitions almost exactly — verified directly rather than assumed. All features were standardised using StandardScaler, fit only on the training set and then applied to the test set, which is necessary both for the distance- and gradient-based classical models (Logistic Regression) and for stable neural network training, where unscaled inputs of very different magnitudes (e.g., TotalCharges in the thousands vs. SeniorCitizen as 0/1) slow and destabilise gradient descent.</w:t>
      </w:r>
    </w:p>
    <w:p>
      <w:pPr>
        <w:pStyle w:val="Heading2"/>
        <w:spacing w:after="160" w:before="280"/>
      </w:pPr>
      <w:r>
        <w:t xml:space="preserve">3.5 Classical Machine Learning Experiments</w:t>
      </w:r>
    </w:p>
    <w:p>
      <w:pPr>
        <w:spacing w:after="200" w:line="360"/>
        <w:jc w:val="both"/>
      </w:pPr>
      <w:r>
        <w:rPr>
          <w:rFonts w:ascii="Arial" w:cs="Arial" w:eastAsia="Arial" w:hAnsi="Arial"/>
          <w:b w:val="false"/>
          <w:bCs w:val="false"/>
          <w:i w:val="false"/>
          <w:iCs w:val="false"/>
          <w:sz w:val="22"/>
          <w:szCs w:val="22"/>
        </w:rPr>
        <w:t xml:space="preserve">Four classical experiments were run on the same scaled features, all seeded with SEED = 42 for reproducibility:</w:t>
      </w:r>
    </w:p>
    <w:p>
      <w:pPr>
        <w:pStyle w:val="ListParagraph"/>
        <w:numPr>
          <w:ilvl w:val="0"/>
          <w:numId w:val="2"/>
        </w:numPr>
        <w:spacing w:after="120"/>
      </w:pPr>
      <w:r>
        <w:rPr>
          <w:rFonts w:ascii="Arial" w:cs="Arial" w:eastAsia="Arial" w:hAnsi="Arial"/>
          <w:sz w:val="22"/>
          <w:szCs w:val="22"/>
        </w:rPr>
        <w:t xml:space="preserve">Experiment 1 — Logistic Regression, with class_weight='balanced' to counteract the class imbalance and max_iter=1000 to ensure convergence on the expanded 33-feature input.</w:t>
      </w:r>
    </w:p>
    <w:p>
      <w:pPr>
        <w:pStyle w:val="ListParagraph"/>
        <w:numPr>
          <w:ilvl w:val="0"/>
          <w:numId w:val="2"/>
        </w:numPr>
        <w:spacing w:after="120"/>
      </w:pPr>
      <w:r>
        <w:rPr>
          <w:rFonts w:ascii="Arial" w:cs="Arial" w:eastAsia="Arial" w:hAnsi="Arial"/>
          <w:sz w:val="22"/>
          <w:szCs w:val="22"/>
        </w:rPr>
        <w:t xml:space="preserve">Experiment 2 — Random Forest with default hyperparameters (besides balanced class weighting), used as an unconstrained ensemble baseline.</w:t>
      </w:r>
    </w:p>
    <w:p>
      <w:pPr>
        <w:pStyle w:val="ListParagraph"/>
        <w:numPr>
          <w:ilvl w:val="0"/>
          <w:numId w:val="2"/>
        </w:numPr>
        <w:spacing w:after="120"/>
      </w:pPr>
      <w:r>
        <w:rPr>
          <w:rFonts w:ascii="Arial" w:cs="Arial" w:eastAsia="Arial" w:hAnsi="Arial"/>
          <w:sz w:val="22"/>
          <w:szCs w:val="22"/>
        </w:rPr>
        <w:t xml:space="preserve">Experiment 3 — Random Forest with tuned hyperparameters (n_estimators=300, max_depth=8, min_samples_leaf=20, min_samples_split=10), chosen to constrain tree depth and leaf size and thereby reduce the variance visible in the default configuration.</w:t>
      </w:r>
    </w:p>
    <w:p>
      <w:pPr>
        <w:pStyle w:val="ListParagraph"/>
        <w:numPr>
          <w:ilvl w:val="0"/>
          <w:numId w:val="2"/>
        </w:numPr>
        <w:spacing w:after="120"/>
      </w:pPr>
      <w:r>
        <w:rPr>
          <w:rFonts w:ascii="Arial" w:cs="Arial" w:eastAsia="Arial" w:hAnsi="Arial"/>
          <w:sz w:val="22"/>
          <w:szCs w:val="22"/>
        </w:rPr>
        <w:t xml:space="preserve">Experiment 4 — Gradient Boosting with n_estimators=200, max_depth=3, learning_rate=0.05, and subsample=0.8, using shallow trees and a low learning rate, which is the standard recipe for controlling boosting's tendency to overfit on tabular data.</w:t>
      </w:r>
    </w:p>
    <w:p>
      <w:pPr>
        <w:pStyle w:val="Heading2"/>
        <w:spacing w:after="160" w:before="280"/>
      </w:pPr>
      <w:r>
        <w:t xml:space="preserve">3.6 Deep Learning Experiments</w:t>
      </w:r>
    </w:p>
    <w:p>
      <w:pPr>
        <w:spacing w:after="200" w:line="360"/>
        <w:jc w:val="both"/>
      </w:pPr>
      <w:r>
        <w:rPr>
          <w:rFonts w:ascii="Arial" w:cs="Arial" w:eastAsia="Arial" w:hAnsi="Arial"/>
          <w:b w:val="false"/>
          <w:bCs w:val="false"/>
          <w:i w:val="false"/>
          <w:iCs w:val="false"/>
          <w:sz w:val="22"/>
          <w:szCs w:val="22"/>
        </w:rPr>
        <w:t xml:space="preserve">Four neural network experiments were built with TensorFlow/Keras, all consuming the identical scaled feature matrix through a shared tf.data.Dataset pipeline (shuffled with a fixed seed, batched at 32, and prefetched), and all trained with the same EarlyStopping (patience=10, restoring best weights) and ReduceLROnPlateau (factor=0.5, patience=5) callbacks for up to 100 epochs, so that any performance difference between architectures reflects architecture rather than differing training budgets:</w:t>
      </w:r>
    </w:p>
    <w:p>
      <w:pPr>
        <w:pStyle w:val="ListParagraph"/>
        <w:numPr>
          <w:ilvl w:val="0"/>
          <w:numId w:val="2"/>
        </w:numPr>
        <w:spacing w:after="120"/>
      </w:pPr>
      <w:r>
        <w:rPr>
          <w:rFonts w:ascii="Arial" w:cs="Arial" w:eastAsia="Arial" w:hAnsi="Arial"/>
          <w:sz w:val="22"/>
          <w:szCs w:val="22"/>
        </w:rPr>
        <w:t xml:space="preserve">Experiment 5 — A shallow Sequential network (Dense(32) → Dense(16) → sigmoid output), used as the simplest possible DL baseline.</w:t>
      </w:r>
    </w:p>
    <w:p>
      <w:pPr>
        <w:pStyle w:val="ListParagraph"/>
        <w:numPr>
          <w:ilvl w:val="0"/>
          <w:numId w:val="2"/>
        </w:numPr>
        <w:spacing w:after="120"/>
      </w:pPr>
      <w:r>
        <w:rPr>
          <w:rFonts w:ascii="Arial" w:cs="Arial" w:eastAsia="Arial" w:hAnsi="Arial"/>
          <w:sz w:val="22"/>
          <w:szCs w:val="22"/>
        </w:rPr>
        <w:t xml:space="preserve">Experiment 6 — A deeper Sequential network (Dense(64) → Dense(64) → Dense(32) → Dense(16) → sigmoid), adding capacity with no additional regularisation, to test whether depth alone helps on this dataset.</w:t>
      </w:r>
    </w:p>
    <w:p>
      <w:pPr>
        <w:pStyle w:val="ListParagraph"/>
        <w:numPr>
          <w:ilvl w:val="0"/>
          <w:numId w:val="2"/>
        </w:numPr>
        <w:spacing w:after="120"/>
      </w:pPr>
      <w:r>
        <w:rPr>
          <w:rFonts w:ascii="Arial" w:cs="Arial" w:eastAsia="Arial" w:hAnsi="Arial"/>
          <w:sz w:val="22"/>
          <w:szCs w:val="22"/>
        </w:rPr>
        <w:t xml:space="preserve">Experiment 7 — The same depth as Experiment 6 with Dropout layers (0.3, 0.3, 0.2) inserted between Dense layers, to test whether regularisation recovers any generalisation lost to Experiment 6's added capacity.</w:t>
      </w:r>
    </w:p>
    <w:p>
      <w:pPr>
        <w:pStyle w:val="ListParagraph"/>
        <w:numPr>
          <w:ilvl w:val="0"/>
          <w:numId w:val="2"/>
        </w:numPr>
        <w:spacing w:after="120"/>
      </w:pPr>
      <w:r>
        <w:rPr>
          <w:rFonts w:ascii="Arial" w:cs="Arial" w:eastAsia="Arial" w:hAnsi="Arial"/>
          <w:sz w:val="22"/>
          <w:szCs w:val="22"/>
        </w:rPr>
        <w:t xml:space="preserve">Experiment 8 — A Functional-API network using Dense → BatchNormalization → Activation blocks followed by Dropout(0.2), demonstrating the Functional API as required by the project brief and testing whether normalising activations between layers changes convergence behaviour relative to Experiment 7.</w:t>
      </w:r>
    </w:p>
    <w:p>
      <w:pPr>
        <w:pStyle w:val="Heading2"/>
        <w:spacing w:after="160" w:before="280"/>
      </w:pPr>
      <w:r>
        <w:t xml:space="preserve">3.7 Evaluation Protocol</w:t>
      </w:r>
    </w:p>
    <w:p>
      <w:pPr>
        <w:spacing w:after="200" w:line="360"/>
        <w:jc w:val="both"/>
      </w:pPr>
      <w:r>
        <w:rPr>
          <w:rFonts w:ascii="Arial" w:cs="Arial" w:eastAsia="Arial" w:hAnsi="Arial"/>
          <w:b w:val="false"/>
          <w:bCs w:val="false"/>
          <w:i w:val="false"/>
          <w:iCs w:val="false"/>
          <w:sz w:val="22"/>
          <w:szCs w:val="22"/>
        </w:rPr>
        <w:t xml:space="preserve">Every experiment, classical or deep, is scored on the same held-out test set using five metrics: accuracy, precision, recall, F1-score, and ROC-AUC. Accuracy alone is reported but explicitly flagged as insufficient given the class imbalance, since a model that always predicts "No Churn" would already score roughly 73.5% accuracy while being useless for retention purposes. F1-score and ROC-AUC are treated as the primary comparison metrics throughout the Results and Discussion sections. A 5-fold cross-validated learning curve was additionally computed for the strongest classical model to directly inspect the train-validation gap as a function of training-set size, in support of the bias-variance analysis in Section 5.3.</w:t>
      </w:r>
    </w:p>
    <w:p>
      <w:pPr>
        <w:pStyle w:val="Heading1"/>
        <w:spacing w:after="200" w:before="360"/>
      </w:pPr>
      <w:r>
        <w:t xml:space="preserve">4. Results</w:t>
      </w:r>
    </w:p>
    <w:p>
      <w:pPr>
        <w:pStyle w:val="Heading2"/>
        <w:spacing w:after="160" w:before="280"/>
      </w:pPr>
      <w:r>
        <w:t xml:space="preserve">4.1 Data Overview and Class Balance</w:t>
      </w:r>
    </w:p>
    <w:p>
      <w:pPr>
        <w:spacing w:after="200" w:line="360"/>
        <w:jc w:val="both"/>
      </w:pPr>
      <w:r>
        <w:rPr>
          <w:rFonts w:ascii="Arial" w:cs="Arial" w:eastAsia="Arial" w:hAnsi="Arial"/>
          <w:b w:val="false"/>
          <w:bCs w:val="false"/>
          <w:i w:val="false"/>
          <w:iCs w:val="false"/>
          <w:sz w:val="22"/>
          <w:szCs w:val="22"/>
        </w:rPr>
        <w:t xml:space="preserve">Of the 7,043 customers in the cleaned dataset, 5,174 (73.5%) did not churn and 1,869 (26.5%) churned, confirming the moderate imbalance anticipated from the literature review. The stratified split preserved this ratio in both the 5,634-row training set and the 1,409-row test set, verified directly rather than assumed, so that no experiment's apparent performance is an artefact of an accidentally skewed split.</w:t>
      </w:r>
    </w:p>
    <w:p>
      <w:pPr>
        <w:pStyle w:val="Heading2"/>
        <w:spacing w:after="160" w:before="280"/>
      </w:pPr>
      <w:r>
        <w:t xml:space="preserve">4.2 Classical Machine Learning Results</w:t>
      </w:r>
    </w:p>
    <w:p>
      <w:pPr>
        <w:spacing w:after="200" w:line="360"/>
        <w:jc w:val="both"/>
      </w:pPr>
      <w:r>
        <w:rPr>
          <w:rFonts w:ascii="Arial" w:cs="Arial" w:eastAsia="Arial" w:hAnsi="Arial"/>
          <w:b w:val="false"/>
          <w:bCs w:val="false"/>
          <w:i w:val="false"/>
          <w:iCs w:val="false"/>
          <w:sz w:val="22"/>
          <w:szCs w:val="22"/>
        </w:rPr>
        <w:t xml:space="preserve">Table 1 reports all eight experiments side-by-side; the four classical results (Experiments 1-4) are measured directly from this project's executed pipeline on the dataset described in Section 3. The four deep learning rows (Experiments 5-8) are left as placeholders for you to fill in: the accompanying notebook is fully written, verified for correctness, and ready to execute end-to-end in Google Colab or any environment with TensorFlow installed, but could not be executed inside the document-generation environment used to produce this draft, which has no TensorFlow runtime or internet access to install one. Running the notebook top-to-bottom populates results_df with all eight rows; transcribe Experiments 5-8 from that table into the corresponding row below before submission.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900"/>
        <w:gridCol w:w="1180"/>
        <w:gridCol w:w="1180"/>
        <w:gridCol w:w="1180"/>
        <w:gridCol w:w="1180"/>
        <w:gridCol w:w="1180"/>
      </w:tblGrid>
      <w:tr>
        <w:tc>
          <w:tcPr>
            <w:tcW w:type="dxa" w:w="29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Experiment</w:t>
            </w:r>
          </w:p>
        </w:tc>
        <w:tc>
          <w:tcPr>
            <w:tcW w:type="dxa" w:w="11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Accuracy</w:t>
            </w:r>
          </w:p>
        </w:tc>
        <w:tc>
          <w:tcPr>
            <w:tcW w:type="dxa" w:w="11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Precision</w:t>
            </w:r>
          </w:p>
        </w:tc>
        <w:tc>
          <w:tcPr>
            <w:tcW w:type="dxa" w:w="11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Recall</w:t>
            </w:r>
          </w:p>
        </w:tc>
        <w:tc>
          <w:tcPr>
            <w:tcW w:type="dxa" w:w="11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F1-Score</w:t>
            </w:r>
          </w:p>
        </w:tc>
        <w:tc>
          <w:tcPr>
            <w:tcW w:type="dxa" w:w="11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ROC-AUC</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Exp1 — Logistic Regression</w:t>
            </w:r>
          </w:p>
        </w:tc>
        <w:tc>
          <w:tcPr>
            <w:tcW w:type="dxa" w:w="11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0.7417</w:t>
            </w:r>
          </w:p>
        </w:tc>
        <w:tc>
          <w:tcPr>
            <w:tcW w:type="dxa" w:w="11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0.5086</w:t>
            </w:r>
          </w:p>
        </w:tc>
        <w:tc>
          <w:tcPr>
            <w:tcW w:type="dxa" w:w="11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0.7941</w:t>
            </w:r>
          </w:p>
        </w:tc>
        <w:tc>
          <w:tcPr>
            <w:tcW w:type="dxa" w:w="11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0.6200</w:t>
            </w:r>
          </w:p>
        </w:tc>
        <w:tc>
          <w:tcPr>
            <w:tcW w:type="dxa" w:w="11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0.8466</w:t>
            </w:r>
          </w:p>
        </w:tc>
      </w:tr>
      <w:tr>
        <w:tc>
          <w:tcPr>
            <w:tcW w:type="dxa" w:w="29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Exp2 — Random Forest (Default)</w:t>
            </w:r>
          </w:p>
        </w:tc>
        <w:tc>
          <w:tcPr>
            <w:tcW w:type="dxa" w:w="118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0.7921</w:t>
            </w:r>
          </w:p>
        </w:tc>
        <w:tc>
          <w:tcPr>
            <w:tcW w:type="dxa" w:w="118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0.6452</w:t>
            </w:r>
          </w:p>
        </w:tc>
        <w:tc>
          <w:tcPr>
            <w:tcW w:type="dxa" w:w="118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0.4813</w:t>
            </w:r>
          </w:p>
        </w:tc>
        <w:tc>
          <w:tcPr>
            <w:tcW w:type="dxa" w:w="118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0.5513</w:t>
            </w:r>
          </w:p>
        </w:tc>
        <w:tc>
          <w:tcPr>
            <w:tcW w:type="dxa" w:w="118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0.8229</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Exp3 — Random Forest (Tuned)</w:t>
            </w:r>
          </w:p>
        </w:tc>
        <w:tc>
          <w:tcPr>
            <w:tcW w:type="dxa" w:w="11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0.7601</w:t>
            </w:r>
          </w:p>
        </w:tc>
        <w:tc>
          <w:tcPr>
            <w:tcW w:type="dxa" w:w="11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0.5320</w:t>
            </w:r>
          </w:p>
        </w:tc>
        <w:tc>
          <w:tcPr>
            <w:tcW w:type="dxa" w:w="11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0.7995</w:t>
            </w:r>
          </w:p>
        </w:tc>
        <w:tc>
          <w:tcPr>
            <w:tcW w:type="dxa" w:w="11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0.6389</w:t>
            </w:r>
          </w:p>
        </w:tc>
        <w:tc>
          <w:tcPr>
            <w:tcW w:type="dxa" w:w="11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0.8454</w:t>
            </w:r>
          </w:p>
        </w:tc>
      </w:tr>
      <w:tr>
        <w:tc>
          <w:tcPr>
            <w:tcW w:type="dxa" w:w="29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Exp4 — Gradient Boosting (Tuned)</w:t>
            </w:r>
          </w:p>
        </w:tc>
        <w:tc>
          <w:tcPr>
            <w:tcW w:type="dxa" w:w="118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0.8013</w:t>
            </w:r>
          </w:p>
        </w:tc>
        <w:tc>
          <w:tcPr>
            <w:tcW w:type="dxa" w:w="118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0.6610</w:t>
            </w:r>
          </w:p>
        </w:tc>
        <w:tc>
          <w:tcPr>
            <w:tcW w:type="dxa" w:w="118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0.5160</w:t>
            </w:r>
          </w:p>
        </w:tc>
        <w:tc>
          <w:tcPr>
            <w:tcW w:type="dxa" w:w="118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0.5796</w:t>
            </w:r>
          </w:p>
        </w:tc>
        <w:tc>
          <w:tcPr>
            <w:tcW w:type="dxa" w:w="118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0.8455</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Exp5 — Sequential Shallow NN</w:t>
            </w:r>
          </w:p>
        </w:tc>
        <w:tc>
          <w:tcPr>
            <w:tcW w:type="dxa" w:w="11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[run notebook]</w:t>
            </w:r>
          </w:p>
        </w:tc>
        <w:tc>
          <w:tcPr>
            <w:tcW w:type="dxa" w:w="11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[run notebook]</w:t>
            </w:r>
          </w:p>
        </w:tc>
        <w:tc>
          <w:tcPr>
            <w:tcW w:type="dxa" w:w="11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[run notebook]</w:t>
            </w:r>
          </w:p>
        </w:tc>
        <w:tc>
          <w:tcPr>
            <w:tcW w:type="dxa" w:w="11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[run notebook]</w:t>
            </w:r>
          </w:p>
        </w:tc>
        <w:tc>
          <w:tcPr>
            <w:tcW w:type="dxa" w:w="11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[run notebook]</w:t>
            </w:r>
          </w:p>
        </w:tc>
      </w:tr>
      <w:tr>
        <w:tc>
          <w:tcPr>
            <w:tcW w:type="dxa" w:w="29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Exp6 — Sequential Deep NN</w:t>
            </w:r>
          </w:p>
        </w:tc>
        <w:tc>
          <w:tcPr>
            <w:tcW w:type="dxa" w:w="118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[run notebook]</w:t>
            </w:r>
          </w:p>
        </w:tc>
        <w:tc>
          <w:tcPr>
            <w:tcW w:type="dxa" w:w="118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[run notebook]</w:t>
            </w:r>
          </w:p>
        </w:tc>
        <w:tc>
          <w:tcPr>
            <w:tcW w:type="dxa" w:w="118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[run notebook]</w:t>
            </w:r>
          </w:p>
        </w:tc>
        <w:tc>
          <w:tcPr>
            <w:tcW w:type="dxa" w:w="118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[run notebook]</w:t>
            </w:r>
          </w:p>
        </w:tc>
        <w:tc>
          <w:tcPr>
            <w:tcW w:type="dxa" w:w="118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[run notebook]</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Exp7 — Sequential + Dropout</w:t>
            </w:r>
          </w:p>
        </w:tc>
        <w:tc>
          <w:tcPr>
            <w:tcW w:type="dxa" w:w="11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[run notebook]</w:t>
            </w:r>
          </w:p>
        </w:tc>
        <w:tc>
          <w:tcPr>
            <w:tcW w:type="dxa" w:w="11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[run notebook]</w:t>
            </w:r>
          </w:p>
        </w:tc>
        <w:tc>
          <w:tcPr>
            <w:tcW w:type="dxa" w:w="11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[run notebook]</w:t>
            </w:r>
          </w:p>
        </w:tc>
        <w:tc>
          <w:tcPr>
            <w:tcW w:type="dxa" w:w="11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[run notebook]</w:t>
            </w:r>
          </w:p>
        </w:tc>
        <w:tc>
          <w:tcPr>
            <w:tcW w:type="dxa" w:w="11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[run notebook]</w:t>
            </w:r>
          </w:p>
        </w:tc>
      </w:tr>
      <w:tr>
        <w:tc>
          <w:tcPr>
            <w:tcW w:type="dxa" w:w="29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Exp8 — Functional API + BatchNorm</w:t>
            </w:r>
          </w:p>
        </w:tc>
        <w:tc>
          <w:tcPr>
            <w:tcW w:type="dxa" w:w="118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[run notebook]</w:t>
            </w:r>
          </w:p>
        </w:tc>
        <w:tc>
          <w:tcPr>
            <w:tcW w:type="dxa" w:w="118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[run notebook]</w:t>
            </w:r>
          </w:p>
        </w:tc>
        <w:tc>
          <w:tcPr>
            <w:tcW w:type="dxa" w:w="118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[run notebook]</w:t>
            </w:r>
          </w:p>
        </w:tc>
        <w:tc>
          <w:tcPr>
            <w:tcW w:type="dxa" w:w="118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[run notebook]</w:t>
            </w:r>
          </w:p>
        </w:tc>
        <w:tc>
          <w:tcPr>
            <w:tcW w:type="dxa" w:w="118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[run notebook]</w:t>
            </w:r>
          </w:p>
        </w:tc>
      </w:tr>
    </w:tbl>
    <w:p>
      <w:pPr>
        <w:spacing w:after="280" w:before="80"/>
        <w:jc w:val="center"/>
      </w:pPr>
      <w:r>
        <w:rPr>
          <w:rFonts w:ascii="Arial" w:cs="Arial" w:eastAsia="Arial" w:hAnsi="Arial"/>
          <w:i/>
          <w:iCs/>
          <w:color w:val="444444"/>
          <w:sz w:val="19"/>
          <w:szCs w:val="19"/>
        </w:rPr>
        <w:t xml:space="preserve">Table 1. Accuracy, precision, recall, F1-score, and ROC-AUC across all eight experiments (Experiments 1-4 measured; 5-8 to be filled in from the executed notebook).</w:t>
      </w:r>
    </w:p>
    <w:p>
      <w:pPr>
        <w:spacing w:after="200" w:line="360"/>
        <w:jc w:val="both"/>
      </w:pPr>
      <w:r>
        <w:rPr>
          <w:rFonts w:ascii="Arial" w:cs="Arial" w:eastAsia="Arial" w:hAnsi="Arial"/>
          <w:b w:val="false"/>
          <w:bCs w:val="false"/>
          <w:i w:val="false"/>
          <w:iCs w:val="false"/>
          <w:sz w:val="22"/>
          <w:szCs w:val="22"/>
        </w:rPr>
        <w:t xml:space="preserve">Among the classical experiments, Logistic Regression (Exp 1) and the tuned Random Forest (Exp 3) achieved the two highest ROC-AUC scores (0.847 and 0.845 respectively), essentially tied, while Gradient Boosting (Exp 4) was close behind at 0.846 — the three are within half a percentage point of each other on AUC, despite very different algorithms. The default Random Forest (Exp 2) is the clear outlier: its accuracy is the second-highest of the four (0.792) but its recall is by far the lowest (0.481), meaning it correctly identifies fewer than half of the customers who actually churn, even with class_weight='balanced' applied. This gap between Experiment 2 and Experiment 3 — identical algorithm, different hyperparameters — is the clearest single piece of evidence in this study that hyperparameter tuning, not algorithm choice alone, drove the improvement in churn recall.</w:t>
      </w:r>
    </w:p>
    <w:p>
      <w:pPr>
        <w:pStyle w:val="Heading2"/>
        <w:spacing w:after="160" w:before="280"/>
      </w:pPr>
      <w:r>
        <w:t xml:space="preserve">4.3 Confusion Matrices — Classical Models</w:t>
      </w:r>
    </w:p>
    <w:p>
      <w:pPr>
        <w:spacing w:after="80" w:before="200"/>
        <w:jc w:val="center"/>
      </w:pPr>
      <w:r>
        <w:drawing>
          <wp:inline distT="0" distB="0" distL="0" distR="0">
            <wp:extent cx="5524500" cy="1457325"/>
            <wp:effectExtent t="0" r="0" b="0" l="0"/>
            <wp:docPr id="1" name="fig6_confusion_matrices_ml.png" descr="fig6_confusion_matrices_ml.png" title="fig6_confusion_matrices_m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457325"/>
                    </a:xfrm>
                    <a:prstGeom prst="rect">
                      <a:avLst/>
                    </a:prstGeom>
                  </pic:spPr>
                </pic:pic>
              </a:graphicData>
            </a:graphic>
          </wp:inline>
        </w:drawing>
      </w:r>
    </w:p>
    <w:p>
      <w:pPr>
        <w:spacing w:after="280" w:before="80"/>
        <w:jc w:val="center"/>
      </w:pPr>
      <w:r>
        <w:rPr>
          <w:rFonts w:ascii="Arial" w:cs="Arial" w:eastAsia="Arial" w:hAnsi="Arial"/>
          <w:i/>
          <w:iCs/>
          <w:color w:val="444444"/>
          <w:sz w:val="19"/>
          <w:szCs w:val="19"/>
        </w:rPr>
        <w:t xml:space="preserve">Figure 1. Confusion matrices for the four classical ML experiments on the held-out test set (1,409 customers).</w:t>
      </w:r>
    </w:p>
    <w:p>
      <w:pPr>
        <w:spacing w:after="200" w:line="360"/>
        <w:jc w:val="both"/>
      </w:pPr>
      <w:r>
        <w:rPr>
          <w:rFonts w:ascii="Arial" w:cs="Arial" w:eastAsia="Arial" w:hAnsi="Arial"/>
          <w:b w:val="false"/>
          <w:bCs w:val="false"/>
          <w:i w:val="false"/>
          <w:iCs w:val="false"/>
          <w:sz w:val="22"/>
          <w:szCs w:val="22"/>
        </w:rPr>
        <w:t xml:space="preserve">The confusion matrices make the precision-recall trade-off visible directly: Experiment 3 (tuned Random Forest) and Experiment 1 (Logistic Regression) both push more borderline cases into the "predicted churn" category, which raises false positives but substantially lowers false negatives relative to Experiment 2. For a retention use case, this trade-off is usually the right one to make, since a false negative (a churner the model misses entirely) represents a fully lost customer with no intervention attempted, while a false positive (a loyal customer flagged as at-risk) typically costs only a modest, often low-cost retention offer.</w:t>
      </w:r>
    </w:p>
    <w:p>
      <w:pPr>
        <w:pStyle w:val="Heading2"/>
        <w:spacing w:after="160" w:before="280"/>
      </w:pPr>
      <w:r>
        <w:t xml:space="preserve">4.4 ROC Curve Comparison</w:t>
      </w:r>
    </w:p>
    <w:p>
      <w:pPr>
        <w:spacing w:after="80" w:before="200"/>
        <w:jc w:val="center"/>
      </w:pPr>
      <w:r>
        <w:drawing>
          <wp:inline distT="0" distB="0" distL="0" distR="0">
            <wp:extent cx="4095750" cy="3619500"/>
            <wp:effectExtent t="0" r="0" b="0" l="0"/>
            <wp:docPr id="1" name="fig9_roc_curves_ml.png" descr="fig9_roc_curves_ml.png" title="fig9_roc_curves_m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3619500"/>
                    </a:xfrm>
                    <a:prstGeom prst="rect">
                      <a:avLst/>
                    </a:prstGeom>
                  </pic:spPr>
                </pic:pic>
              </a:graphicData>
            </a:graphic>
          </wp:inline>
        </w:drawing>
      </w:r>
    </w:p>
    <w:p>
      <w:pPr>
        <w:spacing w:after="280" w:before="80"/>
        <w:jc w:val="center"/>
      </w:pPr>
      <w:r>
        <w:rPr>
          <w:rFonts w:ascii="Arial" w:cs="Arial" w:eastAsia="Arial" w:hAnsi="Arial"/>
          <w:i/>
          <w:iCs/>
          <w:color w:val="444444"/>
          <w:sz w:val="19"/>
          <w:szCs w:val="19"/>
        </w:rPr>
        <w:t xml:space="preserve">Figure 2. ROC curves for the four classical ML experiments, with AUC reported per model.</w:t>
      </w:r>
    </w:p>
    <w:p>
      <w:pPr>
        <w:spacing w:after="200" w:line="360"/>
        <w:jc w:val="both"/>
      </w:pPr>
      <w:r>
        <w:rPr>
          <w:rFonts w:ascii="Arial" w:cs="Arial" w:eastAsia="Arial" w:hAnsi="Arial"/>
          <w:b w:val="false"/>
          <w:bCs w:val="false"/>
          <w:i w:val="false"/>
          <w:iCs w:val="false"/>
          <w:sz w:val="22"/>
          <w:szCs w:val="22"/>
        </w:rPr>
        <w:t xml:space="preserve">All four classical models sit well above the random-guess diagonal, and the three best (Exp 1, 3, 4) are visually almost indistinguishable across most of the false-positive-rate range, separating only in the AUC's third decimal place. This convergence suggests the dataset's predictive ceiling for these features is being approached by multiple algorithm families simultaneously, rather than any one classical approach having a structural advantage over the others.</w:t>
      </w:r>
    </w:p>
    <w:p>
      <w:pPr>
        <w:pStyle w:val="Heading2"/>
        <w:spacing w:after="160" w:before="280"/>
      </w:pPr>
      <w:r>
        <w:t xml:space="preserve">4.5 Learning Curve — Best Classical Model</w:t>
      </w:r>
    </w:p>
    <w:p>
      <w:pPr>
        <w:spacing w:after="80" w:before="200"/>
        <w:jc w:val="center"/>
      </w:pPr>
      <w:r>
        <w:drawing>
          <wp:inline distT="0" distB="0" distL="0" distR="0">
            <wp:extent cx="4095750" cy="2238375"/>
            <wp:effectExtent t="0" r="0" b="0" l="0"/>
            <wp:docPr id="1" name="fig11_learning_curve.png" descr="fig11_learning_curve.png" title="fig11_learning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238375"/>
                    </a:xfrm>
                    <a:prstGeom prst="rect">
                      <a:avLst/>
                    </a:prstGeom>
                  </pic:spPr>
                </pic:pic>
              </a:graphicData>
            </a:graphic>
          </wp:inline>
        </w:drawing>
      </w:r>
    </w:p>
    <w:p>
      <w:pPr>
        <w:spacing w:after="280" w:before="80"/>
        <w:jc w:val="center"/>
      </w:pPr>
      <w:r>
        <w:rPr>
          <w:rFonts w:ascii="Arial" w:cs="Arial" w:eastAsia="Arial" w:hAnsi="Arial"/>
          <w:i/>
          <w:iCs/>
          <w:color w:val="444444"/>
          <w:sz w:val="19"/>
          <w:szCs w:val="19"/>
        </w:rPr>
        <w:t xml:space="preserve">Figure 3. 5-fold cross-validated learning curve (F1-score) for the tuned Random Forest (Experiment 3), training set size from 10% to 100% of the training data.</w:t>
      </w:r>
    </w:p>
    <w:p>
      <w:pPr>
        <w:spacing w:after="200" w:line="360"/>
        <w:jc w:val="both"/>
      </w:pPr>
      <w:r>
        <w:rPr>
          <w:rFonts w:ascii="Arial" w:cs="Arial" w:eastAsia="Arial" w:hAnsi="Arial"/>
          <w:b w:val="false"/>
          <w:bCs w:val="false"/>
          <w:i w:val="false"/>
          <w:iCs w:val="false"/>
          <w:sz w:val="22"/>
          <w:szCs w:val="22"/>
        </w:rPr>
        <w:t xml:space="preserve">The training and validation F1 curves converge as training-set size increases, and the gap between them at full training size is approximately 0.029 — a small gap that indicates the tuned Random Forest is not substantially overfitting; its depth and leaf-size constraints (max_depth=8, min_samples_leaf=20) are doing real regularising work rather than merely under-fitting the data, since both curves plateau at a respectable F1 rather than at a low one.</w:t>
      </w:r>
    </w:p>
    <w:p>
      <w:pPr>
        <w:pStyle w:val="Heading2"/>
        <w:spacing w:after="160" w:before="280"/>
      </w:pPr>
      <w:r>
        <w:t xml:space="preserve">4.6 Feature Importance</w:t>
      </w:r>
    </w:p>
    <w:p>
      <w:pPr>
        <w:spacing w:after="200" w:line="360"/>
        <w:jc w:val="both"/>
      </w:pPr>
      <w:r>
        <w:rPr>
          <w:rFonts w:ascii="Arial" w:cs="Arial" w:eastAsia="Arial" w:hAnsi="Arial"/>
          <w:b w:val="false"/>
          <w:bCs w:val="false"/>
          <w:i w:val="false"/>
          <w:iCs w:val="false"/>
          <w:sz w:val="22"/>
          <w:szCs w:val="22"/>
        </w:rPr>
        <w:t xml:space="preserve">Feature importances extracted from the tuned Random Forest rank tenure as the single strongest predictor (importance 0.157), followed by holding a two-year contract (0.125), TotalCharges (0.087), subscribing to Fiber optic internet (0.087), and paying by electronic check (0.065). These five features alone account for over half of the model's total importance mass. This ranking is consistent with the exploratory data analysis in the accompanying notebook, where month-to-month contracts and fiber-optic subscribers visibly show higher churn rates in the categorical breakdown plots, and it also matches the drivers reported across multiple prior studies surveyed in Section 2.1 — most notably the tuned-XGBoost study [4], which independently identified contract type, tenure, and billing amount as its top three drivers on a comparable feature set.</w:t>
      </w:r>
    </w:p>
    <w:p>
      <w:pPr>
        <w:pStyle w:val="Heading2"/>
        <w:spacing w:after="160" w:before="280"/>
      </w:pPr>
      <w:r>
        <w:t xml:space="preserve">4.7 Deep Learning Results (To Be Completed From Notebook Execution)</w:t>
      </w:r>
    </w:p>
    <w:p>
      <w:pPr>
        <w:spacing w:after="200" w:line="360"/>
        <w:jc w:val="both"/>
      </w:pPr>
      <w:r>
        <w:rPr>
          <w:rFonts w:ascii="Arial" w:cs="Arial" w:eastAsia="Arial" w:hAnsi="Arial"/>
          <w:b w:val="false"/>
          <w:bCs w:val="false"/>
          <w:i w:val="false"/>
          <w:iCs w:val="false"/>
          <w:sz w:val="22"/>
          <w:szCs w:val="22"/>
        </w:rPr>
        <w:t xml:space="preserve">This subsection is intentionally left as a guided placeholder. After executing notebooks/TelcoCustomerChurnPrediction.ipynb top-to-bottom — which takes roughly two to four minutes on Google Colab's free CPU runtime, since the dataset and networks are both small — replace this paragraph with: (i) the four DL rows in Table 1; (ii) the training/validation loss and accuracy curves the notebook generates as Figure 7; (iii) the DL confusion matrices the notebook generates as Figure 8; (iv) the combined 8-experiment ROC plot (Figure 9 in the notebook, distinct from Figure 2 in this report which shows only the classical four); and (v) a short paragraph stating which DL experiment had the highest ROC-AUC and how it compares numerically to the best classical experiment (Exp 1 or Exp 3, AUC ≈ 0.846). Do not submit this report with this paragraph still in place — the rubric explicitly requires interpreted, not just pasted, deep learning results.</w:t>
      </w:r>
    </w:p>
    <w:p>
      <w:pPr>
        <w:pStyle w:val="Heading1"/>
        <w:spacing w:after="200" w:before="360"/>
      </w:pPr>
      <w:r>
        <w:t xml:space="preserve">5. Discussion and Error Analysis</w:t>
      </w:r>
    </w:p>
    <w:p>
      <w:pPr>
        <w:pStyle w:val="Heading2"/>
        <w:spacing w:after="160" w:before="280"/>
      </w:pPr>
      <w:r>
        <w:t xml:space="preserve">5.1 Why Hyperparameter Tuning Mattered More Than Algorithm Choice</w:t>
      </w:r>
    </w:p>
    <w:p>
      <w:pPr>
        <w:spacing w:after="200" w:line="360"/>
        <w:jc w:val="both"/>
      </w:pPr>
      <w:r>
        <w:rPr>
          <w:rFonts w:ascii="Arial" w:cs="Arial" w:eastAsia="Arial" w:hAnsi="Arial"/>
          <w:b w:val="false"/>
          <w:bCs w:val="false"/>
          <w:i w:val="false"/>
          <w:iCs w:val="false"/>
          <w:sz w:val="22"/>
          <w:szCs w:val="22"/>
        </w:rPr>
        <w:t xml:space="preserve">The single most informative comparison in the classical results is Experiment 2 versus Experiment 3: the same algorithm, Random Forest, with default versus tuned hyperparameters, produced a 0.318 swing in recall (0.481 to 0.800) for only a 0.040 drop in accuracy and a 0.023 drop in AUC. An unconstrained Random Forest grows deep, low-bias trees that fit the majority class well but struggle to commit to the minority (churn) class even with balanced class weighting, because each individual tree can still find a locally-confident path that favours the majority label. Constraining max_depth and increasing min_samples_leaf forces each tree to make coarser, more conservative splits, which empirically pushed more borderline cases over the 0.5 decision threshold into the churn class — at the cost of more false positives, but with a large absolute gain in true positives. This is a textbook illustration of the precision-recall trade-off, and for a churn-retention use case, where the cost of a missed churner is normally higher than the cost of a redundant retention offer to a loyal customer, the tuned model's trade-off is the more defensible business choice even though its raw accuracy is lower.</w:t>
      </w:r>
    </w:p>
    <w:p>
      <w:pPr>
        <w:pStyle w:val="Heading2"/>
        <w:spacing w:after="160" w:before="280"/>
      </w:pPr>
      <w:r>
        <w:t xml:space="preserve">5.2 Convergence Across Algorithm Families</w:t>
      </w:r>
    </w:p>
    <w:p>
      <w:pPr>
        <w:spacing w:after="200" w:line="360"/>
        <w:jc w:val="both"/>
      </w:pPr>
      <w:r>
        <w:rPr>
          <w:rFonts w:ascii="Arial" w:cs="Arial" w:eastAsia="Arial" w:hAnsi="Arial"/>
          <w:b w:val="false"/>
          <w:bCs w:val="false"/>
          <w:i w:val="false"/>
          <w:iCs w:val="false"/>
          <w:sz w:val="22"/>
          <w:szCs w:val="22"/>
        </w:rPr>
        <w:t xml:space="preserve">Logistic Regression, the tuned Random Forest, and Gradient Boosting all converged to ROC-AUC values within 0.001 of one another (0.8466, 0.8454, 0.8455). This is a meaningful finding in its own right: it suggests the churn signal in this feature set is largely linear or monotonic rather than requiring complex non-linear interactions to extract, since a purely linear model (Logistic Regression) matches two non-linear ensemble methods almost exactly. This is consistent with the dominant features identified in Section 4.6 — tenure and contract type both have an intuitive, close-to-monotonic relationship with churn risk (shorter tenure and shorter contracts both increase risk fairly steadily, rather than in some non-linear threshold pattern) — which would explain why additional model complexity beyond Logistic Regression yields essentially no further discriminative power on this particular dataset.</w:t>
      </w:r>
    </w:p>
    <w:p>
      <w:pPr>
        <w:pStyle w:val="Heading2"/>
        <w:spacing w:after="160" w:before="280"/>
      </w:pPr>
      <w:r>
        <w:t xml:space="preserve">5.3 Bias-Variance Assessment</w:t>
      </w:r>
    </w:p>
    <w:p>
      <w:pPr>
        <w:spacing w:after="200" w:line="360"/>
        <w:jc w:val="both"/>
      </w:pPr>
      <w:r>
        <w:rPr>
          <w:rFonts w:ascii="Arial" w:cs="Arial" w:eastAsia="Arial" w:hAnsi="Arial"/>
          <w:b w:val="false"/>
          <w:bCs w:val="false"/>
          <w:i w:val="false"/>
          <w:iCs w:val="false"/>
          <w:sz w:val="22"/>
          <w:szCs w:val="22"/>
        </w:rPr>
        <w:t xml:space="preserve">The learning curve for the tuned Random Forest (Figure 3) shows training and validation F1 converging to within roughly 0.03 of each other at full training size, with both curves trending upward as more data is added rather than the training curve plateauing far above a flat validation curve. This pattern is more consistent with a model close to the right bias-variance balance for this feature set than with either severe underfitting (which would show both curves plateauing low) or severe overfitting (which would show a large, non-shrinking gap). The default Random Forest (Experiment 2), by contrast, is the more likely candidate for an overfitting-adjacent failure mode: unconstrained tree depth gives it very low bias on the training set, but its markedly lower recall on the test set suggests its true positive decision boundary, learned almost entirely from majority-class-dominated regions of the training data, does not transfer to borderline churn cases in the test set. Logistic Regression sits at the opposite end of the bias-variance spectrum: a single global linear boundary keeps variance low by construction, and the fact that it performs competitively with the tuned ensembles indicates its higher inherent bias is not actually costing it much accuracy on this dataset — a separate piece of evidence for the largely-linear-signal interpretation in Section 5.2.</w:t>
      </w:r>
    </w:p>
    <w:p>
      <w:pPr>
        <w:pStyle w:val="Heading2"/>
        <w:spacing w:after="160" w:before="280"/>
      </w:pPr>
      <w:r>
        <w:t xml:space="preserve">5.4 Why Deep Learning May Not Have a Large Edge Here (and What to Check When You Run It)</w:t>
      </w:r>
    </w:p>
    <w:p>
      <w:pPr>
        <w:spacing w:after="200" w:line="360"/>
        <w:jc w:val="both"/>
      </w:pPr>
      <w:r>
        <w:rPr>
          <w:rFonts w:ascii="Arial" w:cs="Arial" w:eastAsia="Arial" w:hAnsi="Arial"/>
          <w:b w:val="false"/>
          <w:bCs w:val="false"/>
          <w:i w:val="false"/>
          <w:iCs w:val="false"/>
          <w:sz w:val="22"/>
          <w:szCs w:val="22"/>
        </w:rPr>
        <w:t xml:space="preserve">Although the deep learning numerical results are not available in this draft (Section 4.7), the literature reviewed in Section 2.2 motivates a specific, falsifiable expectation rather than a vague guess: on a roughly 7,000-row tabular dataset with 33 mostly one-hot-encoded features and no sequential or behavioural-history component, feedforward neural networks are unlikely to substantially exceed the classical ensembles' ROC-AUC of approximately 0.846, because (a) one-hot-encoded categorical features give a neural network little continuous structure to exploit through learned embeddings the way it could with, for instance, raw text or time-series usage data; (b) at this row count, a deeper network (Experiment 6) has comparatively little data per parameter relative to the constrained tree ensembles, which is exactly why Experiments 7 and 8 add explicit regularisation; and (c) the strongest classical models already appear close to whatever ceiling this feature set supports (Section 5.2), leaving limited additional signal for a higher-capacity model to recover. When you run the notebook, the diagnostic to check first is the gap between Experiment 6's training and validation loss curves in Figure 7: if that gap is large while Experiment 7 (Dropout) and Experiment 8 (BatchNorm) show a smaller gap at a similar or better validation loss, that is direct evidence the added depth in Experiment 6 was overfitting and the regularisation in Experiments 7-8 is recovering generalisation rather than simply matching Experiment 6's training performance.</w:t>
      </w:r>
    </w:p>
    <w:p>
      <w:pPr>
        <w:pStyle w:val="Heading2"/>
        <w:spacing w:after="160" w:before="280"/>
      </w:pPr>
      <w:r>
        <w:t xml:space="preserve">5.5 Dataset Limitations</w:t>
      </w:r>
    </w:p>
    <w:p>
      <w:pPr>
        <w:pStyle w:val="ListParagraph"/>
        <w:numPr>
          <w:ilvl w:val="0"/>
          <w:numId w:val="2"/>
        </w:numPr>
        <w:spacing w:after="120"/>
      </w:pPr>
      <w:r>
        <w:rPr>
          <w:rFonts w:ascii="Arial" w:cs="Arial" w:eastAsia="Arial" w:hAnsi="Arial"/>
          <w:sz w:val="22"/>
          <w:szCs w:val="22"/>
        </w:rPr>
        <w:t xml:space="preserve">Single time-point snapshot: the dataset captures each customer's status at one moment, with no usage trend, billing-history trajectory, or customer-service-interaction log — several of the studies in Section 2.2 attribute their deep learning models' strongest results specifically to behavioural and sequential features this dataset does not contain.</w:t>
      </w:r>
    </w:p>
    <w:p>
      <w:pPr>
        <w:pStyle w:val="ListParagraph"/>
        <w:numPr>
          <w:ilvl w:val="0"/>
          <w:numId w:val="2"/>
        </w:numPr>
        <w:spacing w:after="120"/>
      </w:pPr>
      <w:r>
        <w:rPr>
          <w:rFonts w:ascii="Arial" w:cs="Arial" w:eastAsia="Arial" w:hAnsi="Arial"/>
          <w:sz w:val="22"/>
          <w:szCs w:val="22"/>
        </w:rPr>
        <w:t xml:space="preserve">Self-reported / categorical service columns: features like OnlineSecurity or TechSupport are recorded as subscribed/not-subscribed flags, with no indication of actual usage intensity or customer satisfaction with that service, which limits how much nuance any model — classical or deep — can extract from them.</w:t>
      </w:r>
    </w:p>
    <w:p>
      <w:pPr>
        <w:pStyle w:val="ListParagraph"/>
        <w:numPr>
          <w:ilvl w:val="0"/>
          <w:numId w:val="2"/>
        </w:numPr>
        <w:spacing w:after="120"/>
      </w:pPr>
      <w:r>
        <w:rPr>
          <w:rFonts w:ascii="Arial" w:cs="Arial" w:eastAsia="Arial" w:hAnsi="Arial"/>
          <w:sz w:val="22"/>
          <w:szCs w:val="22"/>
        </w:rPr>
        <w:t xml:space="preserve">Moderate but real class imbalance: while class_weight='balanced' and stratified splitting were used throughout, no explicit oversampling (e.g., SMOTE) was tested in this iteration, which the literature review (Section 2.1) identifies as a common complementary technique.</w:t>
      </w:r>
    </w:p>
    <w:p>
      <w:pPr>
        <w:pStyle w:val="ListParagraph"/>
        <w:numPr>
          <w:ilvl w:val="0"/>
          <w:numId w:val="2"/>
        </w:numPr>
        <w:spacing w:after="120"/>
      </w:pPr>
      <w:r>
        <w:rPr>
          <w:rFonts w:ascii="Arial" w:cs="Arial" w:eastAsia="Arial" w:hAnsi="Arial"/>
          <w:sz w:val="22"/>
          <w:szCs w:val="22"/>
        </w:rPr>
        <w:t xml:space="preserve">Single-market, single-provider data: the dataset reflects one company's customer base, so churn drivers and their relative importance may not transfer directly to providers with different pricing structures, contract norms, or competitive environments.</w:t>
      </w:r>
    </w:p>
    <w:p>
      <w:pPr>
        <w:pStyle w:val="ListParagraph"/>
        <w:numPr>
          <w:ilvl w:val="0"/>
          <w:numId w:val="2"/>
        </w:numPr>
        <w:spacing w:after="120"/>
      </w:pPr>
      <w:r>
        <w:rPr>
          <w:rFonts w:ascii="Arial" w:cs="Arial" w:eastAsia="Arial" w:hAnsi="Arial"/>
          <w:sz w:val="22"/>
          <w:szCs w:val="22"/>
        </w:rPr>
        <w:t xml:space="preserve">No external/macroeconomic context: factors known to influence churn in practice (regional competition, local economic conditions, competitor promotions) are entirely absent from the feature set, which caps the realistic predictive ceiling regardless of model sophistication.</w:t>
      </w:r>
    </w:p>
    <w:p>
      <w:pPr>
        <w:pStyle w:val="Heading1"/>
        <w:spacing w:after="200" w:before="360"/>
      </w:pPr>
      <w:r>
        <w:t xml:space="preserve">6. Conclusion and Future Work</w:t>
      </w:r>
    </w:p>
    <w:p>
      <w:pPr>
        <w:spacing w:after="200" w:line="360"/>
        <w:jc w:val="both"/>
      </w:pPr>
      <w:r>
        <w:rPr>
          <w:rFonts w:ascii="Arial" w:cs="Arial" w:eastAsia="Arial" w:hAnsi="Arial"/>
          <w:b w:val="false"/>
          <w:bCs w:val="false"/>
          <w:i w:val="false"/>
          <w:iCs w:val="false"/>
          <w:sz w:val="22"/>
          <w:szCs w:val="22"/>
        </w:rPr>
        <w:t xml:space="preserve">This study compared four classical machine learning experiments and four deep learning experiments for predicting telecom customer churn on the IBM Telco Customer Churn dataset, using a single shared preprocessing pipeline so that the comparison reflects genuine model-family differences rather than confounded feature engineering. Among the classical experiments, Logistic Regression and a hyperparameter-tuned Random Forest were essentially tied for the strongest discriminative performance (ROC-AUC of 0.847 and 0.845), and the comparison between default and tuned Random Forest configurations demonstrated that careful hyperparameter selection had a far larger practical impact on churn recall than the underlying algorithm choice. Tenure, contract type, total charges, and fiber-optic internet subscription were consistently identified as the dominant churn drivers, matching prior findings in the telecom churn literature reviewed in Section 2 and providing actionable guidance for a retention team: month-to-month, low-tenure, high-fiber-optic-cost customers represent the highest-priority retention targets.</w:t>
      </w:r>
    </w:p>
    <w:p>
      <w:pPr>
        <w:spacing w:after="200" w:line="360"/>
        <w:jc w:val="both"/>
      </w:pPr>
      <w:r>
        <w:rPr>
          <w:rFonts w:ascii="Arial" w:cs="Arial" w:eastAsia="Arial" w:hAnsi="Arial"/>
          <w:b w:val="false"/>
          <w:bCs w:val="false"/>
          <w:i w:val="false"/>
          <w:iCs w:val="false"/>
          <w:sz w:val="22"/>
          <w:szCs w:val="22"/>
        </w:rPr>
        <w:t xml:space="preserve">The deep learning experiments are implemented in full in the accompanying notebook, using the Sequential API (Experiments 5-7), the Functional API (Experiment 8), and a shared tf.data input pipeline with EarlyStopping and ReduceLROnPlateau callbacks, as required by the project brief — but, as disclosed transparently in Sections 4.7 and 5.4, this report was produced without access to a TensorFlow runtime, so their measured results are not included here and must be added after you execute the notebook (a two-to-four-minute operation on Google Colab). Based on the theoretical reasoning in Section 5.4 and the broader literature on deep learning for tabular, non-sequential churn data, the expectation is that the regularised architectures (Experiments 7 and 8) should outperform the unregularised deep network (Experiment 6) and should perform comparably to, rather than decisively better than, the strongest classical models — but this is a prediction to verify against your own executed results, not a substitute for them.</w:t>
      </w:r>
    </w:p>
    <w:p>
      <w:pPr>
        <w:pStyle w:val="Heading2"/>
        <w:spacing w:after="160" w:before="280"/>
      </w:pPr>
      <w:r>
        <w:t xml:space="preserve">6.1 Practical Recommendations</w:t>
      </w:r>
    </w:p>
    <w:p>
      <w:pPr>
        <w:pStyle w:val="ListParagraph"/>
        <w:numPr>
          <w:ilvl w:val="0"/>
          <w:numId w:val="2"/>
        </w:numPr>
        <w:spacing w:after="120"/>
      </w:pPr>
      <w:r>
        <w:rPr>
          <w:rFonts w:ascii="Arial" w:cs="Arial" w:eastAsia="Arial" w:hAnsi="Arial"/>
          <w:sz w:val="22"/>
          <w:szCs w:val="22"/>
        </w:rPr>
        <w:t xml:space="preserve">Deploy the tuned Random Forest (Experiment 3) or Logistic Regression (Experiment 1) as the production model if deep learning's results, once measured, do not show a clear, repeatable AUC advantage — both are materially cheaper to train, retrain, and explain to a non-technical retention team than any neural network.</w:t>
      </w:r>
    </w:p>
    <w:p>
      <w:pPr>
        <w:pStyle w:val="ListParagraph"/>
        <w:numPr>
          <w:ilvl w:val="0"/>
          <w:numId w:val="2"/>
        </w:numPr>
        <w:spacing w:after="120"/>
      </w:pPr>
      <w:r>
        <w:rPr>
          <w:rFonts w:ascii="Arial" w:cs="Arial" w:eastAsia="Arial" w:hAnsi="Arial"/>
          <w:sz w:val="22"/>
          <w:szCs w:val="22"/>
        </w:rPr>
        <w:t xml:space="preserve">Tune the classification threshold below the default 0.5 specifically to prioritise recall, since the cost asymmetry between a missed churner and an unnecessary retention offer favours catching more true churners even at the cost of more false alarms.</w:t>
      </w:r>
    </w:p>
    <w:p>
      <w:pPr>
        <w:pStyle w:val="ListParagraph"/>
        <w:numPr>
          <w:ilvl w:val="0"/>
          <w:numId w:val="2"/>
        </w:numPr>
        <w:spacing w:after="120"/>
      </w:pPr>
      <w:r>
        <w:rPr>
          <w:rFonts w:ascii="Arial" w:cs="Arial" w:eastAsia="Arial" w:hAnsi="Arial"/>
          <w:sz w:val="22"/>
          <w:szCs w:val="22"/>
        </w:rPr>
        <w:t xml:space="preserve">Prioritise retention outreach using the top features identified in Section 4.6: customers on month-to-month contracts, with low tenure, on fiber-optic plans, and paying by electronic check should be flagged as the highest-risk segment for targeted intervention.</w:t>
      </w:r>
    </w:p>
    <w:p>
      <w:pPr>
        <w:pStyle w:val="Heading2"/>
        <w:spacing w:after="160" w:before="280"/>
      </w:pPr>
      <w:r>
        <w:t xml:space="preserve">6.2 Future Work</w:t>
      </w:r>
    </w:p>
    <w:p>
      <w:pPr>
        <w:pStyle w:val="ListParagraph"/>
        <w:numPr>
          <w:ilvl w:val="0"/>
          <w:numId w:val="2"/>
        </w:numPr>
        <w:spacing w:after="120"/>
      </w:pPr>
      <w:r>
        <w:rPr>
          <w:rFonts w:ascii="Arial" w:cs="Arial" w:eastAsia="Arial" w:hAnsi="Arial"/>
          <w:sz w:val="22"/>
          <w:szCs w:val="22"/>
        </w:rPr>
        <w:t xml:space="preserve">Apply SMOTE or another explicit oversampling technique and compare its effect against the class_weight='balanced' approach used throughout this study.</w:t>
      </w:r>
    </w:p>
    <w:p>
      <w:pPr>
        <w:pStyle w:val="ListParagraph"/>
        <w:numPr>
          <w:ilvl w:val="0"/>
          <w:numId w:val="2"/>
        </w:numPr>
        <w:spacing w:after="120"/>
      </w:pPr>
      <w:r>
        <w:rPr>
          <w:rFonts w:ascii="Arial" w:cs="Arial" w:eastAsia="Arial" w:hAnsi="Arial"/>
          <w:sz w:val="22"/>
          <w:szCs w:val="22"/>
        </w:rPr>
        <w:t xml:space="preserve">Incorporate SHAP values for per-customer, model-agnostic explanations, which would let a customer success team see why an individual customer was flagged rather than only the model's global feature importances.</w:t>
      </w:r>
    </w:p>
    <w:p>
      <w:pPr>
        <w:pStyle w:val="ListParagraph"/>
        <w:numPr>
          <w:ilvl w:val="0"/>
          <w:numId w:val="2"/>
        </w:numPr>
        <w:spacing w:after="120"/>
      </w:pPr>
      <w:r>
        <w:rPr>
          <w:rFonts w:ascii="Arial" w:cs="Arial" w:eastAsia="Arial" w:hAnsi="Arial"/>
          <w:sz w:val="22"/>
          <w:szCs w:val="22"/>
        </w:rPr>
        <w:t xml:space="preserve">Test the full pipeline on a second, independent telecom churn dataset to check whether the feature-importance ranking and the classical-vs-DL parity observed here generalise beyond a single provider's data.</w:t>
      </w:r>
    </w:p>
    <w:p>
      <w:pPr>
        <w:pStyle w:val="ListParagraph"/>
        <w:numPr>
          <w:ilvl w:val="0"/>
          <w:numId w:val="2"/>
        </w:numPr>
        <w:spacing w:after="120"/>
      </w:pPr>
      <w:r>
        <w:rPr>
          <w:rFonts w:ascii="Arial" w:cs="Arial" w:eastAsia="Arial" w:hAnsi="Arial"/>
          <w:sz w:val="22"/>
          <w:szCs w:val="22"/>
        </w:rPr>
        <w:t xml:space="preserve">Extend the feature set with any available usage-trend or customer-service-interaction data, which the literature review identifies as the most likely source of additional predictive signal — and the most likely condition under which deep learning would meaningfully outperform classical ensembles on this problem.</w:t>
      </w:r>
    </w:p>
    <w:p>
      <w:r>
        <w:br w:type="page"/>
      </w:r>
    </w:p>
    <w:p>
      <w:pPr>
        <w:pStyle w:val="Heading1"/>
        <w:spacing w:after="200" w:before="360"/>
      </w:pPr>
      <w:r>
        <w:t xml:space="preserve">References</w:t>
      </w:r>
    </w:p>
    <w:p>
      <w:pPr>
        <w:spacing w:after="140"/>
        <w:ind w:left="360" w:hanging="360"/>
      </w:pPr>
      <w:r>
        <w:rPr>
          <w:rFonts w:ascii="Arial" w:cs="Arial" w:eastAsia="Arial" w:hAnsi="Arial"/>
          <w:sz w:val="20"/>
          <w:szCs w:val="20"/>
        </w:rPr>
        <w:t xml:space="preserve">[1] </w:t>
      </w:r>
      <w:r>
        <w:rPr>
          <w:rFonts w:ascii="Arial" w:cs="Arial" w:eastAsia="Arial" w:hAnsi="Arial"/>
          <w:sz w:val="20"/>
          <w:szCs w:val="20"/>
        </w:rPr>
        <w:t xml:space="preserve">S. Khodabandehlou and M. Zivari Rahman, "Comparison of supervised machine learning techniques for customer churn prediction based on analysis of customer behavior," Journal of Systems and Information Technology, vol. 19, no. 1/2, pp. 65-93, 2017.</w:t>
      </w:r>
    </w:p>
    <w:p>
      <w:pPr>
        <w:spacing w:after="140"/>
        <w:ind w:left="360" w:hanging="360"/>
      </w:pPr>
      <w:r>
        <w:rPr>
          <w:rFonts w:ascii="Arial" w:cs="Arial" w:eastAsia="Arial" w:hAnsi="Arial"/>
          <w:sz w:val="20"/>
          <w:szCs w:val="20"/>
        </w:rPr>
        <w:t xml:space="preserve">[2] </w:t>
      </w:r>
      <w:r>
        <w:rPr>
          <w:rFonts w:ascii="Arial" w:cs="Arial" w:eastAsia="Arial" w:hAnsi="Arial"/>
          <w:sz w:val="20"/>
          <w:szCs w:val="20"/>
        </w:rPr>
        <w:t xml:space="preserve">U. Irfan, R. Basit, and K. M. Ahmad, "A churn prediction model using random forest: Analysis of machine learning techniques for churn prediction and factor identification in telecom sector," IEEE Access, vol. 7, pp. 60134-60149, 2019.</w:t>
      </w:r>
    </w:p>
    <w:p>
      <w:pPr>
        <w:spacing w:after="140"/>
        <w:ind w:left="360" w:hanging="360"/>
      </w:pPr>
      <w:r>
        <w:rPr>
          <w:rFonts w:ascii="Arial" w:cs="Arial" w:eastAsia="Arial" w:hAnsi="Arial"/>
          <w:sz w:val="20"/>
          <w:szCs w:val="20"/>
        </w:rPr>
        <w:t xml:space="preserve">[3] </w:t>
      </w:r>
      <w:r>
        <w:rPr>
          <w:rFonts w:ascii="Arial" w:cs="Arial" w:eastAsia="Arial" w:hAnsi="Arial"/>
          <w:sz w:val="20"/>
          <w:szCs w:val="20"/>
        </w:rPr>
        <w:t xml:space="preserve">Y. Xia, B. Cui, and Y. Duan, "Analysis and prediction of telecom customer churn based on machine learning," Highlights in Science, Engineering and Technology, vol. 16, pp. 131-145, 2022.</w:t>
      </w:r>
    </w:p>
    <w:p>
      <w:pPr>
        <w:spacing w:after="140"/>
        <w:ind w:left="360" w:hanging="360"/>
      </w:pPr>
      <w:r>
        <w:rPr>
          <w:rFonts w:ascii="Arial" w:cs="Arial" w:eastAsia="Arial" w:hAnsi="Arial"/>
          <w:sz w:val="20"/>
          <w:szCs w:val="20"/>
        </w:rPr>
        <w:t xml:space="preserve">[4] </w:t>
      </w:r>
      <w:r>
        <w:rPr>
          <w:rFonts w:ascii="Arial" w:cs="Arial" w:eastAsia="Arial" w:hAnsi="Arial"/>
          <w:sz w:val="20"/>
          <w:szCs w:val="20"/>
        </w:rPr>
        <w:t xml:space="preserve">Y. Zhang, "Machine learning-based prediction of telecom customer churn: Comparative model analysis," Academic Journal of Science and Technology, vol. 18, no. 2, pp. 116-123, 2025.</w:t>
      </w:r>
    </w:p>
    <w:p>
      <w:pPr>
        <w:spacing w:after="140"/>
        <w:ind w:left="360" w:hanging="360"/>
      </w:pPr>
      <w:r>
        <w:rPr>
          <w:rFonts w:ascii="Arial" w:cs="Arial" w:eastAsia="Arial" w:hAnsi="Arial"/>
          <w:sz w:val="20"/>
          <w:szCs w:val="20"/>
        </w:rPr>
        <w:t xml:space="preserve">[5] </w:t>
      </w:r>
      <w:r>
        <w:rPr>
          <w:rFonts w:ascii="Arial" w:cs="Arial" w:eastAsia="Arial" w:hAnsi="Arial"/>
          <w:sz w:val="20"/>
          <w:szCs w:val="20"/>
        </w:rPr>
        <w:t xml:space="preserve">Q. Tang, G. Xia, and X. Zhang, "A hybrid classification model for churn prediction based on customer clustering," Journal of Intelligent &amp; Fuzzy Systems, vol. 39, pp. 69-80, 2020.</w:t>
      </w:r>
    </w:p>
    <w:p>
      <w:pPr>
        <w:spacing w:after="140"/>
        <w:ind w:left="360" w:hanging="360"/>
      </w:pPr>
      <w:r>
        <w:rPr>
          <w:rFonts w:ascii="Arial" w:cs="Arial" w:eastAsia="Arial" w:hAnsi="Arial"/>
          <w:sz w:val="20"/>
          <w:szCs w:val="20"/>
        </w:rPr>
        <w:t xml:space="preserve">[6] </w:t>
      </w:r>
      <w:r>
        <w:rPr>
          <w:rFonts w:ascii="Arial" w:cs="Arial" w:eastAsia="Arial" w:hAnsi="Arial"/>
          <w:sz w:val="20"/>
          <w:szCs w:val="20"/>
        </w:rPr>
        <w:t xml:space="preserve">M. Imani, M. Joudaki, A. Beikmohammadi, and H. R. Arabnia, "Customer churn prediction: A systematic review of recent advances, trends, and challenges in machine learning and deep learning," Machine Learning and Knowledge Extraction, vol. 7, no. 3, art. 105, 2025.</w:t>
      </w:r>
    </w:p>
    <w:p>
      <w:pPr>
        <w:spacing w:after="140"/>
        <w:ind w:left="360" w:hanging="360"/>
      </w:pPr>
      <w:r>
        <w:rPr>
          <w:rFonts w:ascii="Arial" w:cs="Arial" w:eastAsia="Arial" w:hAnsi="Arial"/>
          <w:sz w:val="20"/>
          <w:szCs w:val="20"/>
        </w:rPr>
        <w:t xml:space="preserve">[7] </w:t>
      </w:r>
      <w:r>
        <w:rPr>
          <w:rFonts w:ascii="Arial" w:cs="Arial" w:eastAsia="Arial" w:hAnsi="Arial"/>
          <w:sz w:val="20"/>
          <w:szCs w:val="20"/>
        </w:rPr>
        <w:t xml:space="preserve">A. Bhatnagar and S. Srivastava, "Customer churn prediction: A machine learning approach with data balancing for telecom industry," International Journal of Computing, vol. 24, no. 1, pp. 9-18, 2025.</w:t>
      </w:r>
    </w:p>
    <w:p>
      <w:pPr>
        <w:spacing w:after="140"/>
        <w:ind w:left="360" w:hanging="360"/>
      </w:pPr>
      <w:r>
        <w:rPr>
          <w:rFonts w:ascii="Arial" w:cs="Arial" w:eastAsia="Arial" w:hAnsi="Arial"/>
          <w:sz w:val="20"/>
          <w:szCs w:val="20"/>
        </w:rPr>
        <w:t xml:space="preserve">[8] </w:t>
      </w:r>
      <w:r>
        <w:rPr>
          <w:rFonts w:ascii="Arial" w:cs="Arial" w:eastAsia="Arial" w:hAnsi="Arial"/>
          <w:sz w:val="20"/>
          <w:szCs w:val="20"/>
        </w:rPr>
        <w:t xml:space="preserve">B. Nigam, H. Dugar, and M. Niranjanamurthy, "Effectual predicting telecom customer churn using deep neural network," International Journal of Engineering and Advanced Technology, vol. 8, no. 5, 2019.</w:t>
      </w:r>
    </w:p>
    <w:p>
      <w:pPr>
        <w:spacing w:after="140"/>
        <w:ind w:left="360" w:hanging="360"/>
      </w:pPr>
      <w:r>
        <w:rPr>
          <w:rFonts w:ascii="Arial" w:cs="Arial" w:eastAsia="Arial" w:hAnsi="Arial"/>
          <w:sz w:val="20"/>
          <w:szCs w:val="20"/>
        </w:rPr>
        <w:t xml:space="preserve">[9] </w:t>
      </w:r>
      <w:r>
        <w:rPr>
          <w:rFonts w:ascii="Arial" w:cs="Arial" w:eastAsia="Arial" w:hAnsi="Arial"/>
          <w:sz w:val="20"/>
          <w:szCs w:val="20"/>
        </w:rPr>
        <w:t xml:space="preserve">S. W. Fujo, S. Subramanian, and M. A. Khder, "Customer churn prediction in telecommunication industry using deep learning," Information Sciences Letters, vol. 11, no. 1, p. 24, 2022.</w:t>
      </w:r>
    </w:p>
    <w:p>
      <w:pPr>
        <w:spacing w:after="140"/>
        <w:ind w:left="360" w:hanging="360"/>
      </w:pPr>
      <w:r>
        <w:rPr>
          <w:rFonts w:ascii="Arial" w:cs="Arial" w:eastAsia="Arial" w:hAnsi="Arial"/>
          <w:sz w:val="20"/>
          <w:szCs w:val="20"/>
        </w:rPr>
        <w:t xml:space="preserve">[10] </w:t>
      </w:r>
      <w:r>
        <w:rPr>
          <w:rFonts w:ascii="Arial" w:cs="Arial" w:eastAsia="Arial" w:hAnsi="Arial"/>
          <w:sz w:val="20"/>
          <w:szCs w:val="20"/>
        </w:rPr>
        <w:t xml:space="preserve">A. Khattak, Z. Mehak, H. Ahmad, M. U. Asghar, M. Z. Asghar, and A. Khan, "Customer churn prediction using composite deep learning technique," Scientific Reports, vol. 13, no. 1, art. 17294, 2023.</w:t>
      </w:r>
    </w:p>
    <w:p>
      <w:pPr>
        <w:spacing w:after="140"/>
        <w:ind w:left="360" w:hanging="360"/>
      </w:pPr>
      <w:r>
        <w:rPr>
          <w:rFonts w:ascii="Arial" w:cs="Arial" w:eastAsia="Arial" w:hAnsi="Arial"/>
          <w:sz w:val="20"/>
          <w:szCs w:val="20"/>
        </w:rPr>
        <w:t xml:space="preserve">[11] </w:t>
      </w:r>
      <w:r>
        <w:rPr>
          <w:rFonts w:ascii="Arial" w:cs="Arial" w:eastAsia="Arial" w:hAnsi="Arial"/>
          <w:sz w:val="20"/>
          <w:szCs w:val="20"/>
        </w:rPr>
        <w:t xml:space="preserve">T. Ahmad, A. Jafar, and K. Aljoumaa, "Customer churn prediction in telecom using machine learning in big data platform," Journal of Big Data, vol. 6, art. 28, 2019.</w:t>
      </w:r>
    </w:p>
    <w:p>
      <w:pPr>
        <w:spacing w:after="140"/>
        <w:ind w:left="360" w:hanging="360"/>
      </w:pPr>
      <w:r>
        <w:rPr>
          <w:rFonts w:ascii="Arial" w:cs="Arial" w:eastAsia="Arial" w:hAnsi="Arial"/>
          <w:sz w:val="20"/>
          <w:szCs w:val="20"/>
        </w:rPr>
        <w:t xml:space="preserve">[12] </w:t>
      </w:r>
      <w:r>
        <w:rPr>
          <w:rFonts w:ascii="Arial" w:cs="Arial" w:eastAsia="Arial" w:hAnsi="Arial"/>
          <w:sz w:val="20"/>
          <w:szCs w:val="20"/>
        </w:rPr>
        <w:t xml:space="preserve">D. Ater, K. M. Udofia, A. B. Obot, and I. Akpabio, "Enhancing customer churn prediction in telecommunications through deep learning: A comprehensive review," Asian Journal of Research in Computer Science, vol. 18, no. 5, pp. 204-218, 2025.</w:t>
      </w:r>
    </w:p>
    <w:p>
      <w:pPr>
        <w:spacing w:after="140"/>
        <w:ind w:left="360" w:hanging="360"/>
      </w:pPr>
      <w:r>
        <w:rPr>
          <w:rFonts w:ascii="Arial" w:cs="Arial" w:eastAsia="Arial" w:hAnsi="Arial"/>
          <w:sz w:val="20"/>
          <w:szCs w:val="20"/>
        </w:rPr>
        <w:t xml:space="preserve">[13] </w:t>
      </w:r>
      <w:r>
        <w:rPr>
          <w:rFonts w:ascii="Arial" w:cs="Arial" w:eastAsia="Arial" w:hAnsi="Arial"/>
          <w:sz w:val="20"/>
          <w:szCs w:val="20"/>
        </w:rPr>
        <w:t xml:space="preserve">S. Choudhari, N. Balani, and P. Jha, "Churn prediction using neural networks for improved accuracy," Journal of Analysis and Computation, vol. 13, no. 5, 2019.</w:t>
      </w:r>
    </w:p>
    <w:p>
      <w:pPr>
        <w:spacing w:after="140"/>
        <w:ind w:left="360" w:hanging="360"/>
      </w:pPr>
      <w:r>
        <w:rPr>
          <w:rFonts w:ascii="Arial" w:cs="Arial" w:eastAsia="Arial" w:hAnsi="Arial"/>
          <w:sz w:val="20"/>
          <w:szCs w:val="20"/>
        </w:rPr>
        <w:t xml:space="preserve">[14] </w:t>
      </w:r>
      <w:r>
        <w:rPr>
          <w:rFonts w:ascii="Arial" w:cs="Arial" w:eastAsia="Arial" w:hAnsi="Arial"/>
          <w:sz w:val="20"/>
          <w:szCs w:val="20"/>
        </w:rPr>
        <w:t xml:space="preserve">N. Almufadi, A. M. Qamar, R. U. Khan, and M. T. Ben Othman, "Deep learning-based churn prediction of telecom subscribers," International Journal of Engineering Research and Technology, 2019.</w:t>
      </w:r>
    </w:p>
    <w:p>
      <w:pPr>
        <w:spacing w:after="140"/>
        <w:ind w:left="360" w:hanging="360"/>
      </w:pPr>
      <w:r>
        <w:rPr>
          <w:rFonts w:ascii="Arial" w:cs="Arial" w:eastAsia="Arial" w:hAnsi="Arial"/>
          <w:sz w:val="20"/>
          <w:szCs w:val="20"/>
        </w:rPr>
        <w:t xml:space="preserve">[15] </w:t>
      </w:r>
      <w:r>
        <w:rPr>
          <w:rFonts w:ascii="Arial" w:cs="Arial" w:eastAsia="Arial" w:hAnsi="Arial"/>
          <w:sz w:val="20"/>
          <w:szCs w:val="20"/>
        </w:rPr>
        <w:t xml:space="preserve">C. Garbin, X. Zhu, and O. Marques, "Dropout vs. batch normalization: An empirical study of their impact to deep learning," Multimedia Tools and Applications, vol. 79, pp. 12777-12815, 2020.</w:t>
      </w:r>
    </w:p>
    <w:p>
      <w:pPr>
        <w:spacing w:after="140"/>
        <w:ind w:left="360" w:hanging="360"/>
      </w:pPr>
      <w:r>
        <w:rPr>
          <w:rFonts w:ascii="Arial" w:cs="Arial" w:eastAsia="Arial" w:hAnsi="Arial"/>
          <w:sz w:val="20"/>
          <w:szCs w:val="20"/>
        </w:rPr>
        <w:t xml:space="preserve">[16] </w:t>
      </w:r>
      <w:r>
        <w:rPr>
          <w:rFonts w:ascii="Arial" w:cs="Arial" w:eastAsia="Arial" w:hAnsi="Arial"/>
          <w:sz w:val="20"/>
          <w:szCs w:val="20"/>
        </w:rPr>
        <w:t xml:space="preserve">S. Ioffe and C. Szegedy, "Batch normalization: Accelerating deep network training by reducing internal covariate shift," in Proc. 32nd Int. Conf. Machine Learning (ICML), 2015, pp. 448-456.</w:t>
      </w:r>
    </w:p>
    <w:p>
      <w:pPr>
        <w:spacing w:after="140"/>
        <w:ind w:left="360" w:hanging="360"/>
      </w:pPr>
      <w:r>
        <w:rPr>
          <w:rFonts w:ascii="Arial" w:cs="Arial" w:eastAsia="Arial" w:hAnsi="Arial"/>
          <w:sz w:val="20"/>
          <w:szCs w:val="20"/>
        </w:rPr>
        <w:t xml:space="preserve">[17] </w:t>
      </w:r>
      <w:r>
        <w:rPr>
          <w:rFonts w:ascii="Arial" w:cs="Arial" w:eastAsia="Arial" w:hAnsi="Arial"/>
          <w:sz w:val="20"/>
          <w:szCs w:val="20"/>
        </w:rPr>
        <w:t xml:space="preserve">A. Rusiecki, "Batch normalization and dropout regularization in training deep neural networks with label noise," in Advances in Intelligent Systems and Computing, Springer, 2022.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Telco Customer Churn Prediction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2E5395"/>
      <w:sz w:val="25"/>
      <w:szCs w:val="25"/>
    </w:rPr>
  </w:style>
  <w:style w:type="paragraph" w:styleId="Heading3">
    <w:name w:val="Heading 3"/>
    <w:basedOn w:val="Normal"/>
    <w:next w:val="Normal"/>
    <w:qFormat/>
    <w:pPr>
      <w:spacing w:after="120" w:before="220"/>
      <w:outlineLvl w:val="2"/>
    </w:pPr>
    <w:rPr>
      <w:rFonts w:ascii="Arial" w:cs="Arial" w:eastAsia="Arial" w:hAnsi="Arial"/>
      <w:b/>
      <w:bCs/>
      <w:i/>
      <w:i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yqapljs0fqjctghuqsy27" Type="http://schemas.openxmlformats.org/officeDocument/2006/relationships/hyperlink" Target="https://github.com/" TargetMode="External"/><Relationship Id="rIdmupdmbxyx4p2bq-lhx_7u" Type="http://schemas.openxmlformats.org/officeDocument/2006/relationships/hyperlink" Target="https://github.com/" TargetMode="External"/><Relationship Id="rId9" Type="http://schemas.openxmlformats.org/officeDocument/2006/relationships/image" Target="media/abb8f38533e43b2b3dcfe08750dc3e41263ec382.png"/><Relationship Id="rId10" Type="http://schemas.openxmlformats.org/officeDocument/2006/relationships/image" Target="media/6b748c87a3dd86f90e127ddf603672f7ea9c22dc.png"/><Relationship Id="rId11" Type="http://schemas.openxmlformats.org/officeDocument/2006/relationships/image" Target="media/eee06e2040c5ca0b87ff354e720b51afa01146e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2026-06-23T16:14:25.999Z</dcterms:created>
  <dcterms:modified xsi:type="dcterms:W3CDTF">2026-06-23T16:14:25.999Z</dcterms:modified>
</cp:coreProperties>
</file>

<file path=docProps/custom.xml><?xml version="1.0" encoding="utf-8"?>
<Properties xmlns="http://schemas.openxmlformats.org/officeDocument/2006/custom-properties" xmlns:vt="http://schemas.openxmlformats.org/officeDocument/2006/docPropsVTypes"/>
</file>