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rFonts w:ascii="Helvetica" w:cs="Helvetica" w:hAnsi="Helvetica" w:eastAsia="Helvetica"/>
          <w:b w:val="1"/>
          <w:bCs w:val="1"/>
          <w:caps w:val="1"/>
          <w:sz w:val="20"/>
          <w:szCs w:val="20"/>
          <w:u w:val="single"/>
        </w:rPr>
      </w:pPr>
      <w:r/>
      <w:r>
        <w:rPr>
          <w:b/>
        </w:rPr>
        <w:t>Katarzyna Anna Kmiecik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/>
      <w:r>
        <w:rPr>
          <w:b w:val="0"/>
        </w:rPr>
        <w:t>Experienced Investor Relations Analyst With A Demonstrated History Of Working In The Financial Services Industry. Skilled In Investor Relations, Client Relationship Management, Hedge Funds, Credit Analysis, And Financial Analysis. Strong Finance Professional With A Master Of Science (Msc) Focused In Management From Imperial College London.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b/>
        </w:rPr>
        <w:t>2018 - 2019</w:t>
        <w:br/>
      </w:r>
      <w:r>
        <w:rPr>
          <w:b/>
        </w:rPr>
        <w:tab/>
        <w:tab/>
        <w:tab/>
        <w:tab/>
        <w:t>Imperial College London</w:t>
        <w:br/>
      </w:r>
      <w:r>
        <w:rPr>
          <w:b w:val="0"/>
        </w:rPr>
        <w:tab/>
        <w:tab/>
        <w:tab/>
        <w:tab/>
        <w:t>MSc Management (minoring in Finance)</w:t>
        <w:br/>
      </w:r>
      <w:r>
        <w:rPr>
          <w:b/>
        </w:rPr>
        <w:t>2015 – 2018</w:t>
        <w:br/>
      </w:r>
      <w:r>
        <w:rPr>
          <w:b/>
        </w:rPr>
        <w:tab/>
        <w:tab/>
        <w:tab/>
        <w:tab/>
        <w:t>Queen Mary University of London</w:t>
        <w:br/>
      </w:r>
      <w:r>
        <w:rPr>
          <w:b w:val="0"/>
        </w:rPr>
        <w:tab/>
        <w:tab/>
        <w:tab/>
        <w:tab/>
        <w:t>BSc Business Management</w:t>
        <w:br/>
      </w:r>
    </w:p>
    <w:p>
      <w:pPr>
        <w:pStyle w:val="Body A"/>
        <w:rPr>
          <w:rFonts w:ascii="Helvetica" w:cs="Helvetica" w:hAnsi="Helvetica" w:eastAsia="Helvetica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b/>
        </w:rPr>
        <w:t>2022 - 2023</w:t>
        <w:br/>
      </w:r>
      <w:r>
        <w:rPr>
          <w:b/>
        </w:rPr>
        <w:tab/>
        <w:tab/>
        <w:tab/>
        <w:tab/>
        <w:tab/>
        <w:t>Kryger Capital</w:t>
        <w:br/>
      </w:r>
      <w:r>
        <w:rPr>
          <w:b/>
        </w:rPr>
        <w:tab/>
        <w:tab/>
        <w:tab/>
        <w:tab/>
        <w:tab/>
        <w:t>Investor Relations Analyst</w:t>
        <w:br/>
        <w:br/>
      </w:r>
      <w:r>
        <w:rPr>
          <w:b w:val="0"/>
        </w:rPr>
        <w:t xml:space="preserve">  • Acted as a sole Investor Relations Analyst for the two event-driven comingled funds and two SMAs (c.$1bn AUM) as well as supported Head of Marketing in client management/fundraising activities (c.40 clients)</w:t>
        <w:br/>
      </w:r>
      <w:r>
        <w:rPr>
          <w:b w:val="0"/>
        </w:rPr>
        <w:t xml:space="preserve">  • Led any internal/external inquires, DDQs, RFPs, ODDs, pitch decks, investor reports, shareholder registers, subscription/redemptions and supported other business requests</w:t>
        <w:br/>
      </w:r>
      <w:r>
        <w:rPr>
          <w:b w:val="0"/>
        </w:rPr>
        <w:t xml:space="preserve">  • Worked closely with administrator (U.S. Bank) on the automation of client reporting via ManTra as well as prime brokers (UBS and Morgan Stanley) on the industry research activities</w:t>
        <w:br/>
      </w:r>
      <w:r>
        <w:br/>
        <w:br/>
      </w:r>
      <w:r>
        <w:rPr>
          <w:b/>
        </w:rPr>
        <w:t>2022 - 2022</w:t>
        <w:br/>
      </w:r>
      <w:r>
        <w:rPr>
          <w:b/>
        </w:rPr>
        <w:tab/>
        <w:tab/>
        <w:tab/>
        <w:tab/>
        <w:tab/>
        <w:t>ICG</w:t>
        <w:br/>
      </w:r>
      <w:r>
        <w:rPr>
          <w:b/>
        </w:rPr>
        <w:tab/>
        <w:tab/>
        <w:tab/>
        <w:tab/>
        <w:tab/>
        <w:t>Client Relations Analyst</w:t>
        <w:br/>
        <w:br/>
      </w:r>
      <w:r>
        <w:rPr>
          <w:b w:val="0"/>
        </w:rPr>
        <w:t xml:space="preserve">  • Acted as a specialist for the main funds across the Credit Fund Management platform (c.$20bn AUM), with primary focus on syndicated loans, high yield and multi strategy funds (c.5 funds and 8 SMAs)</w:t>
        <w:br/>
      </w:r>
      <w:r>
        <w:rPr>
          <w:b w:val="0"/>
        </w:rPr>
        <w:t xml:space="preserve">  • Completed internal/external inquires, DDQs, RFPs, pitch decks, investor reports and supported portfolio/relationship managers on the broad-based book of business</w:t>
        <w:br/>
      </w:r>
      <w:r>
        <w:rPr>
          <w:b w:val="0"/>
        </w:rPr>
        <w:t xml:space="preserve">  • Liaised with clients on ongoing commitments, fundraising, subscription/redemptions and product development</w:t>
        <w:br/>
      </w:r>
      <w:r>
        <w:rPr>
          <w:b w:val="0"/>
        </w:rPr>
        <w:t xml:space="preserve">  • Evaluated product performance, industry trends, client/competitor base and geographical exposure of the products</w:t>
        <w:br/>
      </w:r>
      <w:r>
        <w:rPr>
          <w:b w:val="0"/>
        </w:rPr>
        <w:t xml:space="preserve">  • Implemented technology solutions across the team including Upslide, Intralinks and automation of AUM reporting</w:t>
        <w:br/>
      </w:r>
      <w:r>
        <w:rPr>
          <w:b w:val="0"/>
        </w:rPr>
        <w:t xml:space="preserve">  • Sourced data from Credit Suisse, S&amp;P or ICE platforms and analysed sets using charts and financial functions in Excel</w:t>
        <w:br/>
      </w:r>
      <w:r>
        <w:br/>
        <w:br/>
      </w:r>
      <w:r>
        <w:rPr>
          <w:b/>
        </w:rPr>
        <w:t>2019 - 2021</w:t>
        <w:br/>
      </w:r>
      <w:r>
        <w:rPr>
          <w:b/>
        </w:rPr>
        <w:tab/>
        <w:tab/>
        <w:tab/>
        <w:tab/>
        <w:tab/>
        <w:t>CQS</w:t>
        <w:br/>
      </w:r>
      <w:r>
        <w:rPr>
          <w:b/>
        </w:rPr>
        <w:tab/>
        <w:tab/>
        <w:tab/>
        <w:tab/>
        <w:tab/>
        <w:t>Client Service Analyst</w:t>
        <w:br/>
        <w:br/>
      </w:r>
      <w:r>
        <w:rPr>
          <w:b w:val="0"/>
        </w:rPr>
        <w:t xml:space="preserve">  • Assisted EMEA clients (c.100 clients across c.$20bn AUM) with their standard and ad-hoc queries as well as prepared and reviewed compliance-approved meeting materials (pitch decks, investor reports, DDQs, RFPs, flyers, call invitations)</w:t>
        <w:br/>
      </w:r>
      <w:r>
        <w:rPr>
          <w:b w:val="0"/>
        </w:rPr>
        <w:t xml:space="preserve">  • Automated investor reporting by coding underlying risk/performance data using Python</w:t>
        <w:br/>
      </w:r>
      <w:r>
        <w:rPr>
          <w:b w:val="0"/>
        </w:rPr>
        <w:t xml:space="preserve">  • Maintained CRM system (pipeline, call summaries, contact details, distribution lists)</w:t>
        <w:br/>
      </w:r>
      <w:r>
        <w:rPr>
          <w:b w:val="0"/>
        </w:rPr>
        <w:t xml:space="preserve">  • Dealt with client onboarding, subscriptions/redemptions, flows, performance, valuation, due diligence, AML and KYC</w:t>
        <w:br/>
      </w:r>
      <w:r>
        <w:rPr>
          <w:b w:val="0"/>
        </w:rPr>
        <w:t xml:space="preserve">  • Liaised with custodians (JP Morgan, Citco, StateStreet), databases (Aksia, Albourne and eVestment) and vendors (Backstop, Meltwater, Gorkana)</w:t>
        <w:br/>
      </w:r>
      <w:r>
        <w:rPr>
          <w:b w:val="0"/>
        </w:rPr>
        <w:t xml:space="preserve">  • Developed knowledge of core strategies (Hedge, Long Only Open Ended, Long Only Close Ended, Equity and Structured Products) and fund vehicles (QIAF and UCITS)</w:t>
        <w:br/>
      </w:r>
      <w:r>
        <w:br/>
        <w:br/>
      </w:r>
      <w:r>
        <w:rPr>
          <w:b/>
        </w:rPr>
        <w:t>2016- 2019</w:t>
        <w:br/>
      </w:r>
      <w:r>
        <w:rPr>
          <w:b/>
        </w:rPr>
        <w:tab/>
        <w:tab/>
        <w:tab/>
        <w:tab/>
        <w:tab/>
        <w:t>Dennys Brands</w:t>
        <w:br/>
      </w:r>
      <w:r>
        <w:rPr>
          <w:b/>
        </w:rPr>
        <w:tab/>
        <w:tab/>
        <w:tab/>
        <w:tab/>
        <w:tab/>
        <w:t>Business Development Analyst</w:t>
        <w:br/>
        <w:br/>
      </w:r>
      <w:r>
        <w:rPr>
          <w:b w:val="0"/>
        </w:rPr>
        <w:t xml:space="preserve">  • Maintained existing and identified prospective B2B and B2C relationships within the EMEA hospitality sector</w:t>
        <w:br/>
      </w:r>
      <w:r>
        <w:rPr>
          <w:b w:val="0"/>
        </w:rPr>
        <w:t xml:space="preserve">  • Executed sales transactions and provided support through management of CRM and order managing system</w:t>
        <w:br/>
      </w:r>
      <w:r>
        <w:rPr>
          <w:b w:val="0"/>
        </w:rPr>
        <w:t xml:space="preserve">  • Managed supply chain channels and evaluated efficiency of product delivery</w:t>
        <w:br/>
      </w:r>
      <w:r>
        <w:br/>
        <w:br/>
      </w: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b w:val="0"/>
        </w:rPr>
        <w:t xml:space="preserve">  • Investor Relations</w:t>
        <w:br/>
      </w:r>
      <w:r>
        <w:rPr>
          <w:b w:val="0"/>
        </w:rPr>
        <w:t xml:space="preserve">  • Client Relationship Management</w:t>
        <w:br/>
      </w:r>
      <w:r>
        <w:rPr>
          <w:b w:val="0"/>
        </w:rPr>
        <w:t xml:space="preserve">  • Hedge Funds</w:t>
        <w:br/>
      </w:r>
      <w:r>
        <w:rPr>
          <w:b w:val="0"/>
        </w:rPr>
        <w:t xml:space="preserve">  • Credit Analysis</w:t>
        <w:br/>
      </w:r>
      <w:r>
        <w:rPr>
          <w:b w:val="0"/>
        </w:rPr>
        <w:t xml:space="preserve">  • Financial Analysis</w:t>
        <w:br/>
      </w:r>
      <w:r>
        <w:rPr>
          <w:b w:val="0"/>
        </w:rPr>
        <w:t xml:space="preserve">  • Python</w:t>
        <w:br/>
      </w:r>
      <w:r>
        <w:rPr>
          <w:b w:val="0"/>
        </w:rPr>
        <w:t xml:space="preserve">  • Salesforce</w:t>
        <w:br/>
      </w:r>
      <w:r>
        <w:rPr>
          <w:b w:val="0"/>
        </w:rPr>
        <w:t xml:space="preserve">  • Backstop</w:t>
        <w:br/>
      </w:r>
      <w:r>
        <w:rPr>
          <w:b w:val="0"/>
        </w:rPr>
        <w:t xml:space="preserve">  • Dynamo</w:t>
        <w:br/>
      </w:r>
      <w:r>
        <w:rPr>
          <w:b w:val="0"/>
        </w:rPr>
        <w:t xml:space="preserve">  • ProFund</w:t>
        <w:br/>
      </w:r>
      <w:r>
        <w:rPr>
          <w:b w:val="0"/>
        </w:rPr>
        <w:t xml:space="preserve">  • HFM</w:t>
        <w:br/>
      </w:r>
      <w:r>
        <w:rPr>
          <w:b w:val="0"/>
        </w:rPr>
        <w:t xml:space="preserve">  • SPSS</w:t>
        <w:br/>
      </w:r>
      <w:r>
        <w:rPr>
          <w:b w:val="0"/>
        </w:rPr>
        <w:t xml:space="preserve">  • Upslide</w:t>
        <w:br/>
      </w:r>
      <w:r>
        <w:rPr>
          <w:b w:val="0"/>
        </w:rPr>
        <w:t xml:space="preserve">  • eVestment</w:t>
        <w:br/>
      </w:r>
      <w:r>
        <w:rPr>
          <w:b w:val="0"/>
        </w:rPr>
        <w:t xml:space="preserve">  • Loopio</w:t>
        <w:br/>
      </w:r>
      <w:r>
        <w:rPr>
          <w:b w:val="0"/>
        </w:rPr>
        <w:t xml:space="preserve">  • Qvidian</w:t>
        <w:br/>
      </w:r>
      <w:r>
        <w:rPr>
          <w:b w:val="0"/>
        </w:rPr>
        <w:t xml:space="preserve">  • Excel (advanced)</w:t>
        <w:br/>
      </w: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Language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b w:val="0"/>
        </w:rPr>
        <w:t xml:space="preserve">  • English (Fluent in spoken and written)</w:t>
        <w:br/>
      </w:r>
      <w:r>
        <w:rPr>
          <w:b w:val="0"/>
        </w:rPr>
        <w:t xml:space="preserve">  • Polish (Fluent in spoken and written)</w:t>
        <w:br/>
      </w:r>
      <w:r>
        <w:rPr>
          <w:b w:val="0"/>
        </w:rPr>
        <w:t xml:space="preserve">  • German (Beginner in spoken and written)</w:t>
        <w:br/>
      </w:r>
      <w:r>
        <w:rPr>
          <w:b w:val="0"/>
        </w:rPr>
        <w:t xml:space="preserve">  • Russian (Beginner in spoken and written)</w:t>
        <w:br/>
      </w: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</w:pPr>
      <w:r>
        <w:rPr>
          <w:rFonts w:ascii="Helvetica" w:cs="Helvetica" w:hAnsi="Helvetica" w:eastAsia="Helvetica"/>
        </w:rPr>
      </w:r>
      <w:r>
        <w:rPr>
          <w:b w:val="0"/>
        </w:rPr>
        <w:t xml:space="preserve">  • Member of Polish Tennis league</w:t>
        <w:br/>
      </w:r>
      <w:r>
        <w:rPr>
          <w:b w:val="0"/>
        </w:rPr>
        <w:t xml:space="preserve">  • NextGen</w:t>
        <w:br/>
      </w:r>
      <w:r>
        <w:rPr>
          <w:b w:val="0"/>
        </w:rPr>
        <w:t xml:space="preserve">  • LGBTQ+ and 100Women in Finance networks</w:t>
        <w:br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847089</wp:posOffset>
          </wp:positionH>
          <wp:positionV relativeFrom="page">
            <wp:posOffset>830580</wp:posOffset>
          </wp:positionV>
          <wp:extent cx="2533650" cy="885825"/>
          <wp:effectExtent l="0" t="0" r="0" b="0"/>
          <wp:wrapNone/>
          <wp:docPr id="1073741825" name="officeArt object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jpg" descr="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885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