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1"/>
        <w:pBdr>
          <w:bottom w:color="2f3432" w:space="6" w:sz="6" w:val="single"/>
        </w:pBdr>
        <w:rPr/>
      </w:pPr>
      <w:r w:rsidDel="00000000" w:rsidR="00000000" w:rsidRPr="00000000">
        <w:rPr>
          <w:rtl w:val="0"/>
        </w:rPr>
        <w:t xml:space="preserve">Desk Research, exigencias y estructura funcional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Sistema de información nutricional de porciones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. </w:t>
      </w: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Equipo 10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. </w:t>
      </w: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Fundamentos de Diseño 2026-2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Resumen</w:t>
      </w:r>
    </w:p>
    <w:p w:rsidR="00000000" w:rsidDel="00000000" w:rsidP="00000000" w:rsidRDefault="00000000" w:rsidRPr="00000000" w14:paraId="00000003">
      <w:pPr>
        <w:rPr>
          <w:sz w:val="22"/>
          <w:szCs w:val="22"/>
        </w:rPr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El proyecto busca que personas que desean iniciar o mantener una alimentación controlada obtengan, de manera práctica, la cantidad y la composición nutricional de la porción que realmente consumen. La investigación muestra que el error no depende solo de reconocer el alimento: también intervienen la estimación de la cantidad, la elección de la referencia nutricional y la comprensión del resultado. Por ello, la propuesta separa cuatro funciones: registrar, identificar, calcular e informar, con una corrección obligatoria antes de confirmar y una indicación explícita de qué dato fue medido o estimado.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Problema técnico y foco de búsqueda</w:t>
      </w:r>
    </w:p>
    <w:p w:rsidR="00000000" w:rsidDel="00000000" w:rsidP="00000000" w:rsidRDefault="00000000" w:rsidRPr="00000000" w14:paraId="00000005">
      <w:pPr>
        <w:rPr>
          <w:sz w:val="22"/>
          <w:szCs w:val="22"/>
        </w:rPr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Problema técnico inicial: ¿cómo transformar la identificación y la cantidad de una porción real en información comprensible de gramos, energía y macronutrientes, mediante un registro breve, corregible y vinculado a una fuente nutricional?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2"/>
          <w:szCs w:val="22"/>
        </w:rPr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Público inicial: personas que desean iniciar o mantener una alimentación controlada, incluidas personas físicamente activas y consumidores que desean iniciar una dieta. Quedan fuera del alcance los diagnósticos, tratamientos y planes personalizados.</w:t>
      </w:r>
      <w:r w:rsidDel="00000000" w:rsidR="00000000" w:rsidRPr="00000000">
        <w:rPr>
          <w:rtl w:val="0"/>
        </w:rPr>
      </w:r>
    </w:p>
    <w:tbl>
      <w:tblPr>
        <w:tblStyle w:val="Table1"/>
        <w:tblW w:w="9524.0" w:type="dxa"/>
        <w:jc w:val="center"/>
        <w:tblLayout w:type="fixed"/>
        <w:tblLook w:val="0400"/>
      </w:tblPr>
      <w:tblGrid>
        <w:gridCol w:w="4762"/>
        <w:gridCol w:w="4762"/>
        <w:tblGridChange w:id="0">
          <w:tblGrid>
            <w:gridCol w:w="4762"/>
            <w:gridCol w:w="4762"/>
          </w:tblGrid>
        </w:tblGridChange>
      </w:tblGrid>
      <w:tr>
        <w:trPr>
          <w:cantSplit w:val="0"/>
          <w:trHeight w:val="495" w:hRule="atLeast"/>
          <w:tblHeader w:val="1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0e0e3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0e0e3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Pregunta de búsqueda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8"/>
                <w:szCs w:val="18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8"/>
                <w:szCs w:val="18"/>
                <w:rtl w:val="0"/>
              </w:rPr>
              <w:t xml:space="preserve">¿Qué tan confiable es estimar una porción y cómo debe validarse frente a una cantidad real?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8"/>
                <w:szCs w:val="18"/>
                <w:rtl w:val="0"/>
              </w:rPr>
              <w:t xml:space="preserve">Identidad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8"/>
                <w:szCs w:val="18"/>
                <w:rtl w:val="0"/>
              </w:rPr>
              <w:t xml:space="preserve">¿Cómo registrar o reconocer el alimento y permitir que el usuario corrija el resultado?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8"/>
                <w:szCs w:val="18"/>
                <w:rtl w:val="0"/>
              </w:rPr>
              <w:t xml:space="preserve">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8"/>
                <w:szCs w:val="18"/>
                <w:rtl w:val="0"/>
              </w:rPr>
              <w:t xml:space="preserve">¿Qué referencia nutricional peruana debe consultarse y qué trazabilidad debe conservarse?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8"/>
                <w:szCs w:val="18"/>
                <w:rtl w:val="0"/>
              </w:rPr>
              <w:t xml:space="preserve">Interacción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8"/>
                <w:szCs w:val="18"/>
                <w:rtl w:val="0"/>
              </w:rPr>
              <w:t xml:space="preserve">¿Cómo reducir tiempo y acciones sin ocultar incertidumbre ni convertir el sistema en diagnóstico?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8"/>
                <w:szCs w:val="18"/>
                <w:rtl w:val="0"/>
              </w:rPr>
              <w:t xml:space="preserve">Comunicación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8"/>
                <w:szCs w:val="18"/>
                <w:rtl w:val="0"/>
              </w:rPr>
              <w:t xml:space="preserve">¿Qué datos debe intercambiar el prototipo con el aplicativo y cómo se comprobará la conexión?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8"/>
                <w:szCs w:val="18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8"/>
                <w:szCs w:val="18"/>
                <w:rtl w:val="0"/>
              </w:rPr>
              <w:t xml:space="preserve">¿Qué soluciones existentes integran captura, cantidad, base de datos y cálculo por porción?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Desk Research: procedimiento y hallazgos</w:t>
      </w:r>
    </w:p>
    <w:p w:rsidR="00000000" w:rsidDel="00000000" w:rsidP="00000000" w:rsidRDefault="00000000" w:rsidRPr="00000000" w14:paraId="00000017">
      <w:pPr>
        <w:rPr>
          <w:sz w:val="22"/>
          <w:szCs w:val="22"/>
        </w:rPr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Se siguieron los siete pasos del Taller 6: definición del problema, delimitación del foco, búsqueda, registro en matriz, derivación de exigencias, identificación preliminar de funciones y reformulación de la oportunidad. La matriz adjunta reúne doce fuentes: artículos revisados por pares, base oficial, tesis, patentes y productos. Cada fila consigna tecnología o evidencia, exigencia derivada, limitación, función y aplicación. Las calificaciones A/M son juicios documentados del equipo.</w:t>
      </w:r>
      <w:r w:rsidDel="00000000" w:rsidR="00000000" w:rsidRPr="00000000">
        <w:rPr>
          <w:rtl w:val="0"/>
        </w:rPr>
      </w:r>
    </w:p>
    <w:tbl>
      <w:tblPr>
        <w:tblStyle w:val="Table2"/>
        <w:tblW w:w="9524.0" w:type="dxa"/>
        <w:jc w:val="center"/>
        <w:tblLayout w:type="fixed"/>
        <w:tblLook w:val="0400"/>
      </w:tblPr>
      <w:tblGrid>
        <w:gridCol w:w="4762"/>
        <w:gridCol w:w="4762"/>
        <w:tblGridChange w:id="0">
          <w:tblGrid>
            <w:gridCol w:w="4762"/>
            <w:gridCol w:w="47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0e0e3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0e0e3" w:val="clear"/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Lectura para 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.43359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6"/>
                <w:szCs w:val="16"/>
                <w:rtl w:val="0"/>
              </w:rPr>
              <w:t xml:space="preserve">29 estudios, 2 964 participantes y 15 países: omisiones y errores de porción fueron contribuyentes frecuentes [1].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6"/>
                <w:szCs w:val="16"/>
                <w:rtl w:val="0"/>
              </w:rPr>
              <w:t xml:space="preserve">La cantidad debe verificarse; el sistema no debe presentar una estimación como medición.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.43359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6"/>
                <w:szCs w:val="16"/>
                <w:rtl w:val="0"/>
              </w:rPr>
              <w:t xml:space="preserve">De 542 ayudas para estimar porciones, solo 21 estudios las validaron contra cantidades reales [2].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6"/>
                <w:szCs w:val="16"/>
                <w:rtl w:val="0"/>
              </w:rPr>
              <w:t xml:space="preserve">La validación local es necesaria incluso si se usan imágenes o referencias visuales.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6"/>
                <w:szCs w:val="16"/>
                <w:rtl w:val="0"/>
              </w:rPr>
              <w:t xml:space="preserve">En 197 participantes, la confianza percibida tuvo relación débil con la exactitud real [3].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6"/>
                <w:szCs w:val="16"/>
                <w:rtl w:val="0"/>
              </w:rPr>
              <w:t xml:space="preserve">La interfaz debe permitir corregir y mostrar el origen del dato, no basarse en confianza subjetiva.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6"/>
                <w:szCs w:val="16"/>
                <w:rtl w:val="0"/>
              </w:rPr>
              <w:t xml:space="preserve">La TPCA del INS ofrece una referencia peruana de composición de alimentos [4].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6"/>
                <w:szCs w:val="16"/>
                <w:rtl w:val="0"/>
              </w:rPr>
              <w:t xml:space="preserve">Conservar alimento, unidad, fuente y edición; señalar límites en recetas y preparaciones mixtas.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6"/>
                <w:szCs w:val="16"/>
                <w:rtl w:val="0"/>
              </w:rPr>
              <w:t xml:space="preserve">En 302 universitarios peruanos, 79 % comprendía el etiquetado, pero solo 4 % lo leía siempre [5].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6"/>
                <w:szCs w:val="16"/>
                <w:rtl w:val="0"/>
              </w:rPr>
              <w:t xml:space="preserve">La información debe ser breve y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accesible</w:t>
            </w:r>
            <w:r w:rsidDel="00000000" w:rsidR="00000000" w:rsidRPr="00000000">
              <w:rPr>
                <w:rFonts w:ascii="Aptos" w:cs="Aptos" w:eastAsia="Aptos" w:hAnsi="Aptos"/>
                <w:color w:val="242826"/>
                <w:sz w:val="16"/>
                <w:szCs w:val="16"/>
                <w:rtl w:val="0"/>
              </w:rPr>
              <w:t xml:space="preserve">; comprender una tabla no garantiza utilizarla.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Lista de exigencias corregida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La hoja Lista de exigencias del libro de cálculo conserva las 24 entradas del Taller 04, incorpora la conexión obligatoria entre prototipo y aplicativo como LE25, y añade método de comprobación, fuente y estado. Se corrigió la reducción anterior a 18 criterios, porque el ejemplo de Blackboard presenta la lista completa con fecha, tipo, descripción y responsable. Las condiciones dependientes del concepto se señalan como tales, sin escoger cámara, balanza u otro componente</w:t>
      </w:r>
      <w:r w:rsidDel="00000000" w:rsidR="00000000" w:rsidRPr="00000000">
        <w:rPr>
          <w:i w:val="0"/>
          <w:iCs w:val="0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3"/>
        <w:tblW w:w="9525.0" w:type="dxa"/>
        <w:jc w:val="center"/>
        <w:tblLayout w:type="fixed"/>
        <w:tblLook w:val="0400"/>
      </w:tblPr>
      <w:tblGrid>
        <w:gridCol w:w="3175"/>
        <w:gridCol w:w="3175"/>
        <w:gridCol w:w="3175"/>
        <w:tblGridChange w:id="0">
          <w:tblGrid>
            <w:gridCol w:w="3175"/>
            <w:gridCol w:w="3175"/>
            <w:gridCol w:w="3175"/>
          </w:tblGrid>
        </w:tblGridChange>
      </w:tblGrid>
      <w:tr>
        <w:trPr>
          <w:cantSplit w:val="0"/>
          <w:trHeight w:val="344.716796875" w:hRule="atLeast"/>
          <w:tblHeader w:val="1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0e0e3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0e0e3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Exigencia verificable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0e0e3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Comprobación prevista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8"/>
                <w:szCs w:val="18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8"/>
                <w:szCs w:val="18"/>
                <w:rtl w:val="0"/>
              </w:rPr>
              <w:t xml:space="preserve">Informar cantidad, kcal, proteínas, carbohidratos y grasas de una porción real.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8"/>
                <w:szCs w:val="18"/>
                <w:rtl w:val="0"/>
              </w:rPr>
              <w:t xml:space="preserve">Caso de prueba con cinco salidas, unidades y fuente.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8"/>
                <w:szCs w:val="18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8"/>
                <w:szCs w:val="18"/>
                <w:rtl w:val="0"/>
              </w:rPr>
              <w:t xml:space="preserve">Permitir corregir alimento y cantidad antes de confirmar.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8"/>
                <w:szCs w:val="18"/>
                <w:rtl w:val="0"/>
              </w:rPr>
              <w:t xml:space="preserve">Cambiar ambos datos y comprobar que el cálculo se actualiza.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8"/>
                <w:szCs w:val="18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8"/>
                <w:szCs w:val="18"/>
                <w:rtl w:val="0"/>
              </w:rPr>
              <w:t xml:space="preserve">Validar al menos 30 porciones con error porcentual medio &lt;= 20 %.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8"/>
                <w:szCs w:val="18"/>
                <w:rtl w:val="0"/>
              </w:rPr>
              <w:t xml:space="preserve">Comparar con cantidades de referencia y documentar la fórmula.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8"/>
                <w:szCs w:val="18"/>
                <w:rtl w:val="0"/>
              </w:rPr>
              <w:t xml:space="preserve">Cálculo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8"/>
                <w:szCs w:val="18"/>
                <w:rtl w:val="0"/>
              </w:rPr>
              <w:t xml:space="preserve">Escalar los nutrientes según la cantidad; error de cálculo &lt;= 1 %.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8"/>
                <w:szCs w:val="18"/>
                <w:rtl w:val="0"/>
              </w:rPr>
              <w:t xml:space="preserve">Recálculo independiente con casos conocidos.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8"/>
                <w:szCs w:val="18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8"/>
                <w:szCs w:val="18"/>
                <w:rtl w:val="0"/>
              </w:rPr>
              <w:t xml:space="preserve">Completar un registro en &lt;= 60 s y &lt;= 5 acciones.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8"/>
                <w:szCs w:val="18"/>
                <w:rtl w:val="0"/>
              </w:rPr>
              <w:t xml:space="preserve">Prueba cronometrada con usuarios y conteo de acciones.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8"/>
                <w:szCs w:val="18"/>
                <w:rtl w:val="0"/>
              </w:rPr>
              <w:t xml:space="preserve">Comunicación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8"/>
                <w:szCs w:val="18"/>
                <w:rtl w:val="0"/>
              </w:rPr>
              <w:t xml:space="preserve">Conectar el prototipo con el aplicativo e intercambiar cantidad, estado y comandos.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8"/>
                <w:szCs w:val="18"/>
                <w:rtl w:val="0"/>
              </w:rPr>
              <w:t xml:space="preserve">Prueba de enlace, transmisión, confirmación, interrupción y reconexión.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8"/>
                <w:szCs w:val="18"/>
                <w:rtl w:val="0"/>
              </w:rPr>
              <w:t xml:space="preserve">Confianza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8"/>
                <w:szCs w:val="18"/>
                <w:rtl w:val="0"/>
              </w:rPr>
              <w:t xml:space="preserve">Distinguir valores medidos, estimados y calculados; mostrar fuente y edición.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8"/>
                <w:szCs w:val="18"/>
                <w:rtl w:val="0"/>
              </w:rPr>
              <w:t xml:space="preserve">Inspección de interfaz y trazabilidad del resultado.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4.Caja negra</w:t>
      </w:r>
    </w:p>
    <w:tbl>
      <w:tblPr>
        <w:tblStyle w:val="Table4"/>
        <w:tblW w:w="9411.0" w:type="dxa"/>
        <w:jc w:val="center"/>
        <w:tblLayout w:type="fixed"/>
        <w:tblLook w:val="0400"/>
      </w:tblPr>
      <w:tblGrid>
        <w:gridCol w:w="1814"/>
        <w:gridCol w:w="7597"/>
        <w:tblGridChange w:id="0">
          <w:tblGrid>
            <w:gridCol w:w="1814"/>
            <w:gridCol w:w="7597"/>
          </w:tblGrid>
        </w:tblGridChange>
      </w:tblGrid>
      <w:tr>
        <w:trPr>
          <w:cantSplit w:val="0"/>
          <w:trHeight w:val="860.187988281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9ddf0" w:val="clear"/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FUNCIÓN 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242826"/>
                <w:sz w:val="20"/>
                <w:szCs w:val="20"/>
                <w:rtl w:val="0"/>
              </w:rPr>
              <w:t xml:space="preserve">Conectar el prototipo con el aplicativo y transformar los datos del alimento y de la cantidad de una porción, junto con una referencia nutricional, en información trazable de gramos, kcal y macronutrientes.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524.0" w:type="dxa"/>
        <w:jc w:val="center"/>
        <w:tblLayout w:type="fixed"/>
        <w:tblLook w:val="0400"/>
      </w:tblPr>
      <w:tblGrid>
        <w:gridCol w:w="2381"/>
        <w:gridCol w:w="2381"/>
        <w:gridCol w:w="2381"/>
        <w:gridCol w:w="2381"/>
        <w:tblGridChange w:id="0">
          <w:tblGrid>
            <w:gridCol w:w="2381"/>
            <w:gridCol w:w="2381"/>
            <w:gridCol w:w="2381"/>
            <w:gridCol w:w="2381"/>
          </w:tblGrid>
        </w:tblGridChange>
      </w:tblGrid>
      <w:tr>
        <w:trPr>
          <w:cantSplit w:val="0"/>
          <w:trHeight w:val="344.716796875" w:hRule="atLeast"/>
          <w:tblHeader w:val="1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0e0e3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Flujo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0e0e3" w:val="clear"/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0e0e3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0e0e3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Salidas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8"/>
                <w:szCs w:val="18"/>
                <w:rtl w:val="0"/>
              </w:rPr>
              <w:t xml:space="preserve">Materia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8"/>
                <w:szCs w:val="18"/>
                <w:rtl w:val="0"/>
              </w:rPr>
              <w:t xml:space="preserve">Porción y recipiente, solo si la ruta elegida interactúa físicamente con ellos.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8"/>
                <w:szCs w:val="18"/>
                <w:rtl w:val="0"/>
              </w:rPr>
              <w:t xml:space="preserve">Sistema de información nutricional de porciones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8"/>
                <w:szCs w:val="18"/>
                <w:rtl w:val="0"/>
              </w:rPr>
              <w:t xml:space="preserve">La misma porción, sin modificación intencional.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8"/>
                <w:szCs w:val="18"/>
                <w:rtl w:val="0"/>
              </w:rPr>
              <w:t xml:space="preserve">Energía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8"/>
                <w:szCs w:val="18"/>
                <w:rtl w:val="0"/>
              </w:rPr>
              <w:t xml:space="preserve">Energía eléctrica para el prototipo y los módulos activos.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Protótipo</w:t>
            </w:r>
            <w:r w:rsidDel="00000000" w:rsidR="00000000" w:rsidRPr="00000000">
              <w:rPr>
                <w:rFonts w:ascii="Aptos" w:cs="Aptos" w:eastAsia="Aptos" w:hAnsi="Aptos"/>
                <w:color w:val="242826"/>
                <w:sz w:val="18"/>
                <w:szCs w:val="18"/>
                <w:rtl w:val="0"/>
              </w:rPr>
              <w:t xml:space="preserve"> conectado + aplicativo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8"/>
                <w:szCs w:val="18"/>
                <w:rtl w:val="0"/>
              </w:rPr>
              <w:t xml:space="preserve">Consumo eléctrico, estado de alimentación y calor disipado.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8"/>
                <w:szCs w:val="18"/>
                <w:rtl w:val="0"/>
              </w:rPr>
              <w:t xml:space="preserve">Señales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8"/>
                <w:szCs w:val="18"/>
                <w:rtl w:val="0"/>
              </w:rPr>
              <w:t xml:space="preserve">Foto, texto o señal física; comandos del aplicativo; datos nutricionales por 100 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Protótipo</w:t>
            </w:r>
            <w:r w:rsidDel="00000000" w:rsidR="00000000" w:rsidRPr="00000000">
              <w:rPr>
                <w:rFonts w:ascii="Aptos" w:cs="Aptos" w:eastAsia="Aptos" w:hAnsi="Aptos"/>
                <w:color w:val="242826"/>
                <w:sz w:val="18"/>
                <w:szCs w:val="18"/>
                <w:rtl w:val="0"/>
              </w:rPr>
              <w:t xml:space="preserve"> conectado + aplicativo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8"/>
                <w:szCs w:val="18"/>
                <w:rtl w:val="0"/>
              </w:rPr>
              <w:t xml:space="preserve">Cantidad y estado enviados; confirmaciones; kcal; macros; fuente; aviso de conexión.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Secuencia de operaciones</w:t>
      </w:r>
    </w:p>
    <w:tbl>
      <w:tblPr>
        <w:tblStyle w:val="Table6"/>
        <w:tblW w:w="9524.0" w:type="dxa"/>
        <w:jc w:val="center"/>
        <w:tblLayout w:type="fixed"/>
        <w:tblLook w:val="0400"/>
      </w:tblPr>
      <w:tblGrid>
        <w:gridCol w:w="4762"/>
        <w:gridCol w:w="4762"/>
        <w:tblGridChange w:id="0">
          <w:tblGrid>
            <w:gridCol w:w="4762"/>
            <w:gridCol w:w="4762"/>
          </w:tblGrid>
        </w:tblGridChange>
      </w:tblGrid>
      <w:tr>
        <w:trPr>
          <w:cantSplit w:val="0"/>
          <w:trHeight w:val="509.716796875" w:hRule="atLeast"/>
          <w:tblHeader w:val="1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0e0e3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Nivel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0e0e3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Nivel dispositivo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.716796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8"/>
                <w:szCs w:val="18"/>
                <w:rtl w:val="0"/>
              </w:rPr>
              <w:t xml:space="preserve">1. Encender el prototipo y abrir el aplicativo.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8"/>
                <w:szCs w:val="18"/>
                <w:rtl w:val="0"/>
              </w:rPr>
              <w:t xml:space="preserve">1. Iniciar y verificar alimentación y módulos.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.7167968749999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8"/>
                <w:szCs w:val="18"/>
                <w:rtl w:val="0"/>
              </w:rPr>
              <w:t xml:space="preserve">2. Conectar el prototipo con el aplicativo.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8"/>
                <w:szCs w:val="18"/>
                <w:rtl w:val="0"/>
              </w:rPr>
              <w:t xml:space="preserve">2. Establecer el enlace y reportar su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.716796874999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8"/>
                <w:szCs w:val="18"/>
                <w:rtl w:val="0"/>
              </w:rPr>
              <w:t xml:space="preserve">3. Elegir una ruta de registro disponible.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8"/>
                <w:szCs w:val="18"/>
                <w:rtl w:val="0"/>
              </w:rPr>
              <w:t xml:space="preserve">3. Recibir foto, texto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color w:val="242826"/>
                <w:sz w:val="18"/>
                <w:szCs w:val="18"/>
                <w:rtl w:val="0"/>
              </w:rPr>
              <w:t xml:space="preserve">o señal física.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.7167968749999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8"/>
                <w:szCs w:val="18"/>
                <w:rtl w:val="0"/>
              </w:rPr>
              <w:t xml:space="preserve">4. Registrar el alimento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8"/>
                <w:szCs w:val="18"/>
                <w:rtl w:val="0"/>
              </w:rPr>
              <w:t xml:space="preserve">4. Validar la entrada y transmitir cantidad y estado al aplicativo.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.7167968749999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8"/>
                <w:szCs w:val="18"/>
                <w:rtl w:val="0"/>
              </w:rPr>
              <w:t xml:space="preserve">5. Revisar si cada dato fue medido o estimado.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8"/>
                <w:szCs w:val="18"/>
                <w:rtl w:val="0"/>
              </w:rPr>
              <w:t xml:space="preserve">5. Proponer identidad y cantidad con su origen.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4.716796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8"/>
                <w:szCs w:val="18"/>
                <w:rtl w:val="0"/>
              </w:rPr>
              <w:t xml:space="preserve">6. Corregir alimento o cantidad cuando sea necesario.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8"/>
                <w:szCs w:val="18"/>
                <w:rtl w:val="0"/>
              </w:rPr>
              <w:t xml:space="preserve">6. Consultar la referencia nutricional seleccionada.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.7167968749999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8"/>
                <w:szCs w:val="18"/>
                <w:rtl w:val="0"/>
              </w:rPr>
              <w:t xml:space="preserve">7. Confirmar o descartar el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8"/>
                <w:szCs w:val="18"/>
                <w:rtl w:val="0"/>
              </w:rPr>
              <w:t xml:space="preserve">7. Escalar valores por 100 g a la cantidad confirmada.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8"/>
                <w:szCs w:val="18"/>
                <w:rtl w:val="0"/>
              </w:rPr>
              <w:t xml:space="preserve">8. Consultar resultado y fuente.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8"/>
                <w:szCs w:val="18"/>
                <w:rtl w:val="0"/>
              </w:rPr>
              <w:t xml:space="preserve">8. Mostrar resultado, fuente, edición y avisos; guardar solo tras confirmar.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Avance de estructura de funciones</w:t>
      </w:r>
    </w:p>
    <w:tbl>
      <w:tblPr>
        <w:tblStyle w:val="Table7"/>
        <w:tblW w:w="9524.0" w:type="dxa"/>
        <w:jc w:val="center"/>
        <w:tblLayout w:type="fixed"/>
        <w:tblLook w:val="0400"/>
      </w:tblPr>
      <w:tblGrid>
        <w:gridCol w:w="2381"/>
        <w:gridCol w:w="2381"/>
        <w:gridCol w:w="2381"/>
        <w:gridCol w:w="2381"/>
        <w:tblGridChange w:id="0">
          <w:tblGrid>
            <w:gridCol w:w="2381"/>
            <w:gridCol w:w="2381"/>
            <w:gridCol w:w="2381"/>
            <w:gridCol w:w="2381"/>
          </w:tblGrid>
        </w:tblGridChange>
      </w:tblGrid>
      <w:tr>
        <w:trPr>
          <w:cantSplit w:val="0"/>
          <w:trHeight w:val="374.716796875" w:hRule="atLeast"/>
          <w:tblHeader w:val="1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0e0e3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0e0e3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Dominio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0e0e3" w:val="clear"/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0e0e3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6"/>
                <w:szCs w:val="16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6"/>
                <w:szCs w:val="16"/>
                <w:rtl w:val="0"/>
              </w:rPr>
              <w:t xml:space="preserve">Energía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6"/>
                <w:szCs w:val="16"/>
                <w:rtl w:val="0"/>
              </w:rPr>
              <w:t xml:space="preserve">Recibir, distribuir y supervisar energía en el prototipo.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6"/>
                <w:szCs w:val="16"/>
                <w:rtl w:val="0"/>
              </w:rPr>
              <w:t xml:space="preserve">Energía utilizable y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6"/>
                <w:szCs w:val="16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6"/>
                <w:szCs w:val="16"/>
                <w:rtl w:val="0"/>
              </w:rPr>
              <w:t xml:space="preserve">Comunicación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6"/>
                <w:szCs w:val="16"/>
                <w:rtl w:val="0"/>
              </w:rPr>
              <w:t xml:space="preserve">Establecer y supervisar la conexión entre prototipo y aplicativo.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6"/>
                <w:szCs w:val="16"/>
                <w:rtl w:val="0"/>
              </w:rPr>
              <w:t xml:space="preserve">Enlace activo y estado de conexión.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6"/>
                <w:szCs w:val="16"/>
                <w:rtl w:val="0"/>
              </w:rPr>
              <w:t xml:space="preserve">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6"/>
                <w:szCs w:val="16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6"/>
                <w:szCs w:val="16"/>
                <w:rtl w:val="0"/>
              </w:rPr>
              <w:t xml:space="preserve">Adquirir foto, texto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color w:val="242826"/>
                <w:sz w:val="16"/>
                <w:szCs w:val="16"/>
                <w:rtl w:val="0"/>
              </w:rPr>
              <w:t xml:space="preserve">o señal física de cantidad.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6"/>
                <w:szCs w:val="16"/>
                <w:rtl w:val="0"/>
              </w:rPr>
              <w:t xml:space="preserve">Entrada digitalizada.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6"/>
                <w:szCs w:val="16"/>
                <w:rtl w:val="0"/>
              </w:rPr>
              <w:t xml:space="preserve">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6"/>
                <w:szCs w:val="16"/>
                <w:rtl w:val="0"/>
              </w:rPr>
              <w:t xml:space="preserve">Comunicación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6"/>
                <w:szCs w:val="16"/>
                <w:rtl w:val="0"/>
              </w:rPr>
              <w:t xml:space="preserve">Transmitir cantidad, estado y errores; recibir comandos o confirmación.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6"/>
                <w:szCs w:val="16"/>
                <w:rtl w:val="0"/>
              </w:rPr>
              <w:t xml:space="preserve">Datos intercambiados y confirmados.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6"/>
                <w:szCs w:val="16"/>
                <w:rtl w:val="0"/>
              </w:rPr>
              <w:t xml:space="preserve">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6"/>
                <w:szCs w:val="16"/>
                <w:rtl w:val="0"/>
              </w:rPr>
              <w:t xml:space="preserve">Procesamiento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6"/>
                <w:szCs w:val="16"/>
                <w:rtl w:val="0"/>
              </w:rPr>
              <w:t xml:space="preserve">Determinar la cantidad y marcarla como medida o estimada.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6"/>
                <w:szCs w:val="16"/>
                <w:rtl w:val="0"/>
              </w:rPr>
              <w:t xml:space="preserve">Cantidad con tipo y calidad.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6"/>
                <w:szCs w:val="16"/>
                <w:rtl w:val="0"/>
              </w:rPr>
              <w:t xml:space="preserve">F6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6"/>
                <w:szCs w:val="16"/>
                <w:rtl w:val="0"/>
              </w:rPr>
              <w:t xml:space="preserve">Interfaz/control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6"/>
                <w:szCs w:val="16"/>
                <w:rtl w:val="0"/>
              </w:rPr>
              <w:t xml:space="preserve">Identificar el alimento y permitir correcciones antes de confirmar.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6"/>
                <w:szCs w:val="16"/>
                <w:rtl w:val="0"/>
              </w:rPr>
              <w:t xml:space="preserve">Alimento y cantidad confirmados.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6"/>
                <w:szCs w:val="16"/>
                <w:rtl w:val="0"/>
              </w:rPr>
              <w:t xml:space="preserve">F7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6"/>
                <w:szCs w:val="16"/>
                <w:rtl w:val="0"/>
              </w:rPr>
              <w:t xml:space="preserve">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6"/>
                <w:szCs w:val="16"/>
                <w:rtl w:val="0"/>
              </w:rPr>
              <w:t xml:space="preserve">Consultar la entrada nutricional y conservar fuente y edición.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6"/>
                <w:szCs w:val="16"/>
                <w:rtl w:val="0"/>
              </w:rPr>
              <w:t xml:space="preserve">Valores por 100 g trazables.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6"/>
                <w:szCs w:val="16"/>
                <w:rtl w:val="0"/>
              </w:rPr>
              <w:t xml:space="preserve">F8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6"/>
                <w:szCs w:val="16"/>
                <w:rtl w:val="0"/>
              </w:rPr>
              <w:t xml:space="preserve">Cálculo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6"/>
                <w:szCs w:val="16"/>
                <w:rtl w:val="0"/>
              </w:rPr>
              <w:t xml:space="preserve">Escalar energía y macronutrientes a la cantidad confirmada.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6"/>
                <w:szCs w:val="16"/>
                <w:rtl w:val="0"/>
              </w:rPr>
              <w:t xml:space="preserve">Resultado calculado.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6"/>
                <w:szCs w:val="16"/>
                <w:rtl w:val="0"/>
              </w:rPr>
              <w:t xml:space="preserve">F9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6"/>
                <w:szCs w:val="16"/>
                <w:rtl w:val="0"/>
              </w:rPr>
              <w:t xml:space="preserve">Interfaz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6"/>
                <w:szCs w:val="16"/>
                <w:rtl w:val="0"/>
              </w:rPr>
              <w:t xml:space="preserve">Presentar cantidad, kcal, macronutrientes, origen y avisos.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6"/>
                <w:szCs w:val="16"/>
                <w:rtl w:val="0"/>
              </w:rPr>
              <w:t xml:space="preserve">Información comprensible.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6"/>
                <w:szCs w:val="16"/>
                <w:rtl w:val="0"/>
              </w:rPr>
              <w:t xml:space="preserve">F10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6"/>
                <w:szCs w:val="16"/>
                <w:rtl w:val="0"/>
              </w:rPr>
              <w:t xml:space="preserve">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6"/>
                <w:szCs w:val="16"/>
                <w:rtl w:val="0"/>
              </w:rPr>
              <w:t xml:space="preserve">Guardar el registro únicamente después de la confirmación.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6"/>
                <w:szCs w:val="16"/>
                <w:rtl w:val="0"/>
              </w:rPr>
              <w:t xml:space="preserve">Registro recuperable.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4.43359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6"/>
                <w:szCs w:val="16"/>
                <w:rtl w:val="0"/>
              </w:rPr>
              <w:t xml:space="preserve">F11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6"/>
                <w:szCs w:val="16"/>
                <w:rtl w:val="0"/>
              </w:rPr>
              <w:t xml:space="preserve">Mecánico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6"/>
                <w:szCs w:val="16"/>
                <w:rtl w:val="0"/>
              </w:rPr>
              <w:t xml:space="preserve">Sostener y permitir limpiar las superficies en contacto físico.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0" w:val="clear"/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242826"/>
                <w:sz w:val="16"/>
                <w:szCs w:val="16"/>
                <w:rtl w:val="0"/>
              </w:rPr>
              <w:t xml:space="preserve">Porción estable y superficie higiénica.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2"/>
          <w:szCs w:val="22"/>
        </w:rPr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Relación funcional preliminar: F1 habilita el prototipo; F2 establece el enlace; F3 alimenta F4 y F5; F4 lleva los datos al aplicativo; F6 confirma identidad y cantidad; F7 entrega la referencia a F8; F5 y F7 habilitan el cálculo; F8 entrega el resultado a F9; F10 depende de la confirmación. El medio de comunicación de F2-F4 permanece por definir.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Conclusión</w:t>
      </w:r>
    </w:p>
    <w:p w:rsidR="00000000" w:rsidDel="00000000" w:rsidP="00000000" w:rsidRDefault="00000000" w:rsidRPr="00000000" w14:paraId="0000009D">
      <w:pPr>
        <w:rPr>
          <w:sz w:val="22"/>
          <w:szCs w:val="22"/>
        </w:rPr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La evidencia orienta el proyecto hacia una solución corregible y trazable, no </w:t>
      </w:r>
      <w:r w:rsidDel="00000000" w:rsidR="00000000" w:rsidRPr="00000000">
        <w:rPr>
          <w:sz w:val="22"/>
          <w:szCs w:val="22"/>
          <w:rtl w:val="0"/>
        </w:rPr>
        <w:t xml:space="preserve">hacía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una promesa de reconocimiento automático. El diseño debe separar alimento, cantidad, referencia y cálculo; declarar qué fue medido y qué fue estimado; y validar las metas de cantidad, cálculo y tiempo con datos del propio prototipo. La caja negra y la estructura funcional </w:t>
      </w:r>
      <w:r w:rsidDel="00000000" w:rsidR="00000000" w:rsidRPr="00000000">
        <w:rPr>
          <w:sz w:val="22"/>
          <w:szCs w:val="22"/>
          <w:rtl w:val="0"/>
        </w:rPr>
        <w:t xml:space="preserve">incluye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el enlace prototipo-aplicativo sin comprometer todavía un protocolo ni un componente específico.</w:t>
      </w:r>
      <w:r w:rsidDel="00000000" w:rsidR="00000000" w:rsidRPr="00000000">
        <w:rPr>
          <w:rtl w:val="0"/>
        </w:rPr>
      </w:r>
    </w:p>
    <w:tbl>
      <w:tblPr>
        <w:tblStyle w:val="Table8"/>
        <w:tblW w:w="9405.0" w:type="dxa"/>
        <w:jc w:val="center"/>
        <w:tblLayout w:type="fixed"/>
        <w:tblLook w:val="0400"/>
      </w:tblPr>
      <w:tblGrid>
        <w:gridCol w:w="1980"/>
        <w:gridCol w:w="7425"/>
        <w:tblGridChange w:id="0">
          <w:tblGrid>
            <w:gridCol w:w="1980"/>
            <w:gridCol w:w="7425"/>
          </w:tblGrid>
        </w:tblGridChange>
      </w:tblGrid>
      <w:tr>
        <w:trPr>
          <w:cantSplit w:val="0"/>
          <w:trHeight w:val="907.169189453125" w:hRule="atLeast"/>
          <w:tblHeader w:val="0"/>
        </w:trPr>
        <w:tc>
          <w:tcPr>
            <w:tcBorders>
              <w:top w:color="2f3432" w:space="0" w:sz="5" w:val="single"/>
              <w:left w:color="2f3432" w:space="0" w:sz="5" w:val="single"/>
              <w:bottom w:color="2f3432" w:space="0" w:sz="5" w:val="single"/>
              <w:right w:color="2f3432" w:space="0" w:sz="5" w:val="single"/>
            </w:tcBorders>
            <w:shd w:fill="c9ddf0" w:val="clear"/>
            <w:vAlign w:val="center"/>
          </w:tcPr>
          <w:p w:rsidR="00000000" w:rsidDel="00000000" w:rsidP="00000000" w:rsidRDefault="00000000" w:rsidRPr="00000000" w14:paraId="0000009E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OPORTUNIDAD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3432" w:space="0" w:sz="5" w:val="single"/>
              <w:left w:color="2f3432" w:space="0" w:sz="5" w:val="single"/>
              <w:bottom w:color="2f3432" w:space="0" w:sz="5" w:val="single"/>
              <w:right w:color="2f3432" w:space="0" w:sz="5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9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242826"/>
                <w:sz w:val="22"/>
                <w:szCs w:val="22"/>
                <w:rtl w:val="0"/>
              </w:rPr>
              <w:t xml:space="preserve">¿Cómo facilitar que las personas que desean iniciar o mantener una alimentación controlada reconozcan, de manera práctica, la cantidad y la composición nutricional de los alimentos que consumen?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Referencias</w:t>
      </w:r>
    </w:p>
    <w:p w:rsidR="00000000" w:rsidDel="00000000" w:rsidP="00000000" w:rsidRDefault="00000000" w:rsidRPr="00000000" w14:paraId="000000A4">
      <w:pPr>
        <w:spacing w:after="60" w:lineRule="auto"/>
        <w:ind w:left="255" w:hanging="255"/>
        <w:rPr/>
      </w:pPr>
      <w:r w:rsidDel="00000000" w:rsidR="00000000" w:rsidRPr="00000000">
        <w:rPr>
          <w:color w:val="242826"/>
          <w:sz w:val="16"/>
          <w:szCs w:val="16"/>
          <w:rtl w:val="0"/>
        </w:rPr>
        <w:t xml:space="preserve">1. Whitton C, et al. A systematic review examining contributors to misestimation of food and beverage intake. Adv Nutr. 2022;13(6):2620-2665. doi:10.1093/advances/nmac085</w:t>
      </w:r>
      <w:r w:rsidDel="00000000" w:rsidR="00000000" w:rsidRPr="00000000">
        <w:rPr>
          <w:sz w:val="16"/>
          <w:szCs w:val="16"/>
          <w:rtl w:val="0"/>
        </w:rPr>
        <w:t xml:space="preserve">. </w:t>
      </w:r>
      <w:hyperlink r:id="rId7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https://pmc.ncbi.nlm.nih.gov/articles/PMC9776649/</w:t>
        </w:r>
      </w:hyperlink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60" w:lineRule="auto"/>
        <w:ind w:left="255" w:hanging="255"/>
        <w:rPr/>
      </w:pPr>
      <w:r w:rsidDel="00000000" w:rsidR="00000000" w:rsidRPr="00000000">
        <w:rPr>
          <w:color w:val="242826"/>
          <w:sz w:val="16"/>
          <w:szCs w:val="16"/>
          <w:rtl w:val="0"/>
        </w:rPr>
        <w:t xml:space="preserve">2. Amoutzopoulos B, et al. Portion size estimation in dietary assessment: a systematic review of existing tools, their strengths and limitations. Nutr Rev. 2020;78(11):885-900. doi:10.1093/nutrit/nuz107.</w:t>
      </w:r>
      <w:hyperlink r:id="rId8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https://pubmed.ncbi.nlm.nih.gov/31999347/</w:t>
        </w:r>
      </w:hyperlink>
      <w:r w:rsidDel="00000000" w:rsidR="00000000" w:rsidRPr="00000000">
        <w:rPr>
          <w:color w:val="242826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60" w:lineRule="auto"/>
        <w:ind w:left="255" w:hanging="255"/>
        <w:rPr/>
      </w:pPr>
      <w:r w:rsidDel="00000000" w:rsidR="00000000" w:rsidRPr="00000000">
        <w:rPr>
          <w:color w:val="242826"/>
          <w:sz w:val="16"/>
          <w:szCs w:val="16"/>
          <w:rtl w:val="0"/>
        </w:rPr>
        <w:t xml:space="preserve">3. König LM, Ziesemer K, Renner B. Quantifying actual and perceived inaccuracy when estimating the sugar, energy content and portion size of foods. Nutrients. 2019;11(10):2425. doi:10.3390/nu11102425.</w:t>
      </w:r>
      <w:hyperlink r:id="rId9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https://pmc.ncbi.nlm.nih.gov/articles/PMC6835963/</w:t>
        </w:r>
      </w:hyperlink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60" w:lineRule="auto"/>
        <w:ind w:left="255" w:hanging="255"/>
        <w:rPr/>
      </w:pPr>
      <w:r w:rsidDel="00000000" w:rsidR="00000000" w:rsidRPr="00000000">
        <w:rPr>
          <w:color w:val="242826"/>
          <w:sz w:val="16"/>
          <w:szCs w:val="16"/>
          <w:rtl w:val="0"/>
        </w:rPr>
        <w:t xml:space="preserve">4. Reyes-García MM, Gómez-Sánchez Prieto VI, Espinoza-Barrientos CM. Tablas peruanas de composición de alimentos. 11.ª ed. digital. Lima: Instituto Nacional de Salud; 2023. </w:t>
      </w:r>
      <w:hyperlink r:id="rId10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https://hdl.handle.net/20.500.14196/1773</w:t>
        </w:r>
      </w:hyperlink>
      <w:r w:rsidDel="00000000" w:rsidR="00000000" w:rsidRPr="00000000">
        <w:rPr>
          <w:color w:val="242826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60" w:lineRule="auto"/>
        <w:ind w:left="255" w:hanging="255"/>
        <w:rPr/>
      </w:pPr>
      <w:r w:rsidDel="00000000" w:rsidR="00000000" w:rsidRPr="00000000">
        <w:rPr>
          <w:color w:val="242826"/>
          <w:sz w:val="16"/>
          <w:szCs w:val="16"/>
          <w:rtl w:val="0"/>
        </w:rPr>
        <w:t xml:space="preserve">5. Somocurcio Carrión LF. Influencia del etiquetado de alimentos procesados en el comportamiento del consumidor universitario peruano [tesis]. Universidad del Pacífico; 2021. </w:t>
      </w:r>
      <w:hyperlink r:id="rId11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https://hdl.handle.net/11354/3271</w:t>
        </w:r>
      </w:hyperlink>
      <w:r w:rsidDel="00000000" w:rsidR="00000000" w:rsidRPr="00000000">
        <w:rPr>
          <w:color w:val="242826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60" w:lineRule="auto"/>
        <w:ind w:left="255" w:hanging="255"/>
        <w:rPr/>
      </w:pPr>
      <w:r w:rsidDel="00000000" w:rsidR="00000000" w:rsidRPr="00000000">
        <w:rPr>
          <w:color w:val="242826"/>
          <w:sz w:val="16"/>
          <w:szCs w:val="16"/>
          <w:rtl w:val="0"/>
        </w:rPr>
        <w:t xml:space="preserve">6. Fang S, et al. A comparison of food portion size estimation using geometric models and depth images. IEEE ICIP. 2016:26-30. </w:t>
      </w:r>
      <w:hyperlink r:id="rId12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https://pmc.ncbi.nlm.nih.gov/articles/PMC6226035/</w:t>
        </w:r>
      </w:hyperlink>
      <w:r w:rsidDel="00000000" w:rsidR="00000000" w:rsidRPr="00000000">
        <w:rPr>
          <w:color w:val="242826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60" w:lineRule="auto"/>
        <w:ind w:left="255" w:hanging="255"/>
        <w:rPr/>
      </w:pPr>
      <w:r w:rsidDel="00000000" w:rsidR="00000000" w:rsidRPr="00000000">
        <w:rPr>
          <w:color w:val="242826"/>
          <w:sz w:val="16"/>
          <w:szCs w:val="16"/>
          <w:rtl w:val="0"/>
        </w:rPr>
        <w:t xml:space="preserve">7. Konstantakopoulos FS, Georga EI, Fotiadis DI. A novel approach to estimate the weight of food items based on features extracted from an image using boosting algorithms. Sci Rep. 2023;13:21040. doi:10.1038/s41598-023-47885-0.</w:t>
      </w:r>
      <w:hyperlink r:id="rId13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https://doi.org/10.1038/s41598-023-47885-0</w:t>
        </w:r>
      </w:hyperlink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60" w:lineRule="auto"/>
        <w:ind w:left="255" w:hanging="255"/>
        <w:rPr/>
      </w:pPr>
      <w:r w:rsidDel="00000000" w:rsidR="00000000" w:rsidRPr="00000000">
        <w:rPr>
          <w:color w:val="242826"/>
          <w:sz w:val="16"/>
          <w:szCs w:val="16"/>
          <w:rtl w:val="0"/>
        </w:rPr>
        <w:t xml:space="preserve">8. Wan J. Calculating instrument for nutrients such as calorie and protein. CN114360689A; 2022. </w:t>
      </w:r>
      <w:hyperlink r:id="rId14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https://patents.google.com/patent/CN114360689A/en</w:t>
        </w:r>
      </w:hyperlink>
      <w:r w:rsidDel="00000000" w:rsidR="00000000" w:rsidRPr="00000000">
        <w:rPr>
          <w:color w:val="242826"/>
          <w:sz w:val="16"/>
          <w:szCs w:val="16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60" w:lineRule="auto"/>
        <w:ind w:left="255" w:hanging="255"/>
        <w:rPr/>
      </w:pPr>
      <w:r w:rsidDel="00000000" w:rsidR="00000000" w:rsidRPr="00000000">
        <w:rPr>
          <w:color w:val="242826"/>
          <w:sz w:val="16"/>
          <w:szCs w:val="16"/>
          <w:rtl w:val="0"/>
        </w:rPr>
        <w:t xml:space="preserve">9. Sharma A. Connected food scale system and method. US20140063180A1; 2014. </w:t>
      </w:r>
      <w:hyperlink r:id="rId15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https://patents.google.com/patent/US20140063180</w:t>
        </w:r>
      </w:hyperlink>
      <w:r w:rsidDel="00000000" w:rsidR="00000000" w:rsidRPr="00000000">
        <w:rPr>
          <w:color w:val="242826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60" w:lineRule="auto"/>
        <w:ind w:left="255" w:hanging="255"/>
        <w:rPr/>
      </w:pPr>
      <w:r w:rsidDel="00000000" w:rsidR="00000000" w:rsidRPr="00000000">
        <w:rPr>
          <w:color w:val="242826"/>
          <w:sz w:val="16"/>
          <w:szCs w:val="16"/>
          <w:rtl w:val="0"/>
        </w:rPr>
        <w:t xml:space="preserve">10. Etekcity. ESN00 Smart Nutrition Scale. </w:t>
      </w:r>
      <w:hyperlink r:id="rId16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https://etekcity.com/products/smart-nutrition-scale-esn00</w:t>
        </w:r>
      </w:hyperlink>
      <w:r w:rsidDel="00000000" w:rsidR="00000000" w:rsidRPr="00000000">
        <w:rPr>
          <w:color w:val="242826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60" w:lineRule="auto"/>
        <w:ind w:left="255" w:hanging="255"/>
        <w:rPr>
          <w:color w:val="242826"/>
          <w:sz w:val="16"/>
          <w:szCs w:val="16"/>
        </w:rPr>
      </w:pPr>
      <w:r w:rsidDel="00000000" w:rsidR="00000000" w:rsidRPr="00000000">
        <w:rPr>
          <w:color w:val="242826"/>
          <w:sz w:val="16"/>
          <w:szCs w:val="16"/>
          <w:rtl w:val="0"/>
        </w:rPr>
        <w:t xml:space="preserve">11. Fitia. Contador de calorías y dietas con IA. </w:t>
      </w:r>
      <w:hyperlink r:id="rId17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https://fitia.app/es/</w:t>
        </w:r>
      </w:hyperlink>
      <w:r w:rsidDel="00000000" w:rsidR="00000000" w:rsidRPr="00000000">
        <w:rPr>
          <w:color w:val="242826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AF">
      <w:pPr>
        <w:spacing w:after="60" w:lineRule="auto"/>
        <w:ind w:left="255" w:hanging="255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color w:val="37393c"/>
          <w:sz w:val="16"/>
          <w:szCs w:val="16"/>
          <w:rtl w:val="0"/>
        </w:rPr>
        <w:t xml:space="preserve">Romero De Chorié, GE, Tineo Ramón, ME, Benavides Santur, JD, Guerrero Reyes, FA, &amp; Rosas Arbildo, G. (2024).</w:t>
      </w:r>
      <w:r w:rsidDel="00000000" w:rsidR="00000000" w:rsidRPr="00000000">
        <w:rPr>
          <w:rFonts w:ascii="Arial" w:cs="Arial" w:eastAsia="Arial" w:hAnsi="Arial"/>
          <w:i w:val="1"/>
          <w:iCs w:val="1"/>
          <w:color w:val="37393c"/>
          <w:sz w:val="16"/>
          <w:szCs w:val="16"/>
          <w:rtl w:val="0"/>
        </w:rPr>
        <w:t xml:space="preserve">Modelo prolab: Checkifood, aplicación móvil que ayuda al régimen alimenticio con machine learning</w:t>
      </w:r>
      <w:r w:rsidDel="00000000" w:rsidR="00000000" w:rsidRPr="00000000">
        <w:rPr>
          <w:rFonts w:ascii="Arial" w:cs="Arial" w:eastAsia="Arial" w:hAnsi="Arial"/>
          <w:color w:val="37393c"/>
          <w:sz w:val="16"/>
          <w:szCs w:val="16"/>
          <w:rtl w:val="0"/>
        </w:rPr>
        <w:t xml:space="preserve">. Pontificia Universidad Católica del Perú.</w:t>
      </w:r>
      <w:r w:rsidDel="00000000" w:rsidR="00000000" w:rsidRPr="00000000">
        <w:rPr>
          <w:sz w:val="16"/>
          <w:szCs w:val="16"/>
          <w:rtl w:val="0"/>
        </w:rPr>
        <w:t xml:space="preserve"> </w:t>
      </w:r>
      <w:hyperlink r:id="rId18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https://repositorio.pucp.edu.pe/items/87b87afc-2d59-4af2-934d-5603f26f3536</w:t>
        </w:r>
      </w:hyperlink>
      <w:r w:rsidDel="00000000" w:rsidR="00000000" w:rsidRPr="00000000">
        <w:rPr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B0">
      <w:pPr>
        <w:spacing w:after="60" w:lineRule="auto"/>
        <w:ind w:left="255" w:hanging="255"/>
        <w:rPr/>
      </w:pPr>
      <w:r w:rsidDel="00000000" w:rsidR="00000000" w:rsidRPr="00000000">
        <w:rPr>
          <w:color w:val="242826"/>
          <w:sz w:val="16"/>
          <w:szCs w:val="16"/>
          <w:rtl w:val="0"/>
        </w:rPr>
        <w:t xml:space="preserve">12. Equipo 10. Presentación actualizada del problema; Taller 04 - Lista de exigencias; repositorio del proyecto. Fundamentos de Diseño, 2026-</w:t>
      </w:r>
      <w:r w:rsidDel="00000000" w:rsidR="00000000" w:rsidRPr="00000000">
        <w:rPr>
          <w:sz w:val="16"/>
          <w:szCs w:val="16"/>
          <w:rtl w:val="0"/>
        </w:rPr>
        <w:t xml:space="preserve">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60" w:lineRule="auto"/>
        <w:ind w:left="255" w:hanging="255"/>
        <w:rPr/>
      </w:pPr>
      <w:r w:rsidDel="00000000" w:rsidR="00000000" w:rsidRPr="00000000">
        <w:rPr>
          <w:color w:val="242826"/>
          <w:sz w:val="16"/>
          <w:szCs w:val="16"/>
          <w:rtl w:val="0"/>
        </w:rPr>
        <w:t xml:space="preserve">13. Taller 6: Desk Research en el marco del VDI 2206; Clase 6: Caja negra y estructura de funciones. Material de Blackboard, 2026-2.</w:t>
      </w:r>
      <w:r w:rsidDel="00000000" w:rsidR="00000000" w:rsidRPr="00000000">
        <w:rPr>
          <w:rtl w:val="0"/>
        </w:rPr>
      </w:r>
    </w:p>
    <w:sectPr>
      <w:headerReference r:id="rId19" w:type="default"/>
      <w:footerReference r:id="rId20" w:type="default"/>
      <w:pgSz w:h="16838" w:w="11906" w:orient="portrait"/>
      <w:pgMar w:bottom="964" w:top="1020" w:left="1191" w:right="119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42826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242826"/>
        <w:sz w:val="19"/>
        <w:szCs w:val="19"/>
        <w:lang w:val="en"/>
      </w:rPr>
    </w:rPrDefault>
    <w:pPrDefault>
      <w:pPr>
        <w:spacing w:after="100" w:line="25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20" w:lineRule="auto"/>
    </w:pPr>
    <w:rPr>
      <w:rFonts w:ascii="Aptos" w:cs="Aptos" w:eastAsia="Aptos" w:hAnsi="Aptos"/>
      <w:b w:val="1"/>
      <w:bCs w:val="1"/>
      <w:color w:val="242826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40" w:lineRule="auto"/>
    </w:pPr>
    <w:rPr>
      <w:rFonts w:ascii="Aptos" w:cs="Aptos" w:eastAsia="Aptos" w:hAnsi="Aptos"/>
      <w:b w:val="1"/>
      <w:bCs w:val="1"/>
      <w:color w:val="242826"/>
      <w:sz w:val="21"/>
      <w:szCs w:val="2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160" w:line="240" w:lineRule="auto"/>
    </w:pPr>
    <w:rPr>
      <w:rFonts w:ascii="Aptos" w:cs="Aptos" w:eastAsia="Aptos" w:hAnsi="Aptos"/>
      <w:b w:val="1"/>
      <w:bCs w:val="1"/>
      <w:color w:val="242826"/>
      <w:sz w:val="42"/>
      <w:szCs w:val="4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hyperlink" Target="https://hdl.handle.net/11354/3271" TargetMode="External"/><Relationship Id="rId10" Type="http://schemas.openxmlformats.org/officeDocument/2006/relationships/hyperlink" Target="https://hdl.handle.net/20.500.14196/1773" TargetMode="External"/><Relationship Id="rId13" Type="http://schemas.openxmlformats.org/officeDocument/2006/relationships/hyperlink" Target="https://doi.org/10.1038/s41598-023-47885-0" TargetMode="External"/><Relationship Id="rId12" Type="http://schemas.openxmlformats.org/officeDocument/2006/relationships/hyperlink" Target="https://pmc.ncbi.nlm.nih.gov/articles/PMC6226035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mc.ncbi.nlm.nih.gov/articles/PMC6835963/" TargetMode="External"/><Relationship Id="rId15" Type="http://schemas.openxmlformats.org/officeDocument/2006/relationships/hyperlink" Target="https://patents.google.com/patent/US20140063180" TargetMode="External"/><Relationship Id="rId14" Type="http://schemas.openxmlformats.org/officeDocument/2006/relationships/hyperlink" Target="https://patents.google.com/patent/CN114360689A/en" TargetMode="External"/><Relationship Id="rId17" Type="http://schemas.openxmlformats.org/officeDocument/2006/relationships/hyperlink" Target="https://fitia.app/es/" TargetMode="External"/><Relationship Id="rId16" Type="http://schemas.openxmlformats.org/officeDocument/2006/relationships/hyperlink" Target="https://etekcity.com/products/smart-nutrition-scale-esn00" TargetMode="External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customXml" Target="../customXML/item1.xml"/><Relationship Id="rId18" Type="http://schemas.openxmlformats.org/officeDocument/2006/relationships/hyperlink" Target="https://repositorio.pucp.edu.pe/items/87b87afc-2d59-4af2-934d-5603f26f3536" TargetMode="External"/><Relationship Id="rId7" Type="http://schemas.openxmlformats.org/officeDocument/2006/relationships/hyperlink" Target="https://pmc.ncbi.nlm.nih.gov/articles/PMC9776649/" TargetMode="External"/><Relationship Id="rId8" Type="http://schemas.openxmlformats.org/officeDocument/2006/relationships/hyperlink" Target="https://pubmed.ncbi.nlm.nih.gov/3199934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L3uD57tB1YvgRNkNIhb/ORJdiA==">CgMxLjA4AHIhMTdkZVNqQk0yTXBUbUZfenJ6dWZvTEZ2TEhBZmpqeWUt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