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4FD90"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市场状态感知的多尺度因子表征</w:t>
      </w:r>
      <w:r>
        <w:rPr>
          <w:rFonts w:ascii="微软雅黑" w:hAnsi="微软雅黑" w:eastAsia="微软雅黑"/>
          <w:b/>
          <w:color w:val="1F4E79"/>
          <w:sz w:val="48"/>
        </w:rPr>
        <w:br w:type="textWrapping"/>
      </w:r>
      <w:r>
        <w:rPr>
          <w:rFonts w:ascii="微软雅黑" w:hAnsi="微软雅黑" w:eastAsia="微软雅黑"/>
          <w:b/>
          <w:color w:val="1F4E79"/>
          <w:sz w:val="48"/>
        </w:rPr>
        <w:t>与动态组合研究方案</w:t>
      </w:r>
    </w:p>
    <w:p w14:paraId="4596146A">
      <w:pPr>
        <w:jc w:val="center"/>
      </w:pPr>
      <w:r>
        <w:rPr>
          <w:sz w:val="26"/>
        </w:rPr>
        <w:t>基于强化学习生成因子、行为聚类与层次化 MoE 的研究方法论</w:t>
      </w:r>
    </w:p>
    <w:p w14:paraId="1253A7E4">
      <w: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F02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C314556">
            <w:pPr>
              <w:spacing w:after="40" w:line="240" w:lineRule="auto"/>
            </w:pPr>
            <w:r>
              <w:rPr>
                <w:b/>
                <w:color w:val="FFFFFF"/>
              </w:rPr>
              <w:t>文档属性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1B5043B0">
            <w:pPr>
              <w:spacing w:after="40" w:line="240" w:lineRule="auto"/>
            </w:pPr>
            <w:r>
              <w:rPr>
                <w:b/>
                <w:color w:val="FFFFFF"/>
              </w:rPr>
              <w:t>内容</w:t>
            </w:r>
          </w:p>
        </w:tc>
      </w:tr>
      <w:tr w14:paraId="4B87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BB74A3D">
            <w:pPr>
              <w:spacing w:after="40" w:line="240" w:lineRule="auto"/>
            </w:pPr>
            <w:r>
              <w:rPr>
                <w:b w:val="0"/>
              </w:rPr>
              <w:t>文档类型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330EC02F">
            <w:pPr>
              <w:spacing w:after="40" w:line="240" w:lineRule="auto"/>
            </w:pPr>
            <w:r>
              <w:rPr>
                <w:b w:val="0"/>
              </w:rPr>
              <w:t>研究方法论与实验设计方案</w:t>
            </w:r>
          </w:p>
        </w:tc>
      </w:tr>
      <w:tr w14:paraId="3655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7153B0">
            <w:pPr>
              <w:spacing w:after="40" w:line="240" w:lineRule="auto"/>
            </w:pPr>
            <w:r>
              <w:rPr>
                <w:b w:val="0"/>
              </w:rPr>
              <w:t>研究对象</w:t>
            </w:r>
          </w:p>
        </w:tc>
        <w:tc>
          <w:tcPr>
            <w:tcW w:w="6236" w:type="dxa"/>
            <w:vAlign w:val="center"/>
          </w:tcPr>
          <w:p w14:paraId="3736BAAD">
            <w:pPr>
              <w:spacing w:after="40" w:line="240" w:lineRule="auto"/>
            </w:pPr>
            <w:r>
              <w:rPr>
                <w:b w:val="0"/>
              </w:rPr>
              <w:t>已有 PPO / 强化学习生成因子及其动态组合</w:t>
            </w:r>
          </w:p>
        </w:tc>
      </w:tr>
      <w:tr w14:paraId="5687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EFA4F29">
            <w:pPr>
              <w:spacing w:after="40" w:line="240" w:lineRule="auto"/>
            </w:pPr>
            <w:r>
              <w:rPr>
                <w:b w:val="0"/>
              </w:rPr>
              <w:t>研究阶段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51F0372E">
            <w:pPr>
              <w:spacing w:after="40" w:line="240" w:lineRule="auto"/>
            </w:pPr>
            <w:r>
              <w:rPr>
                <w:b w:val="0"/>
              </w:rPr>
              <w:t>独立研究系统，不依赖前端页面</w:t>
            </w:r>
          </w:p>
        </w:tc>
      </w:tr>
      <w:tr w14:paraId="3E7F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C9327E">
            <w:pPr>
              <w:spacing w:after="40" w:line="240" w:lineRule="auto"/>
            </w:pPr>
            <w:r>
              <w:rPr>
                <w:b w:val="0"/>
              </w:rPr>
              <w:t>核心方法</w:t>
            </w:r>
          </w:p>
        </w:tc>
        <w:tc>
          <w:tcPr>
            <w:tcW w:w="6236" w:type="dxa"/>
            <w:vAlign w:val="center"/>
          </w:tcPr>
          <w:p w14:paraId="26D819AA">
            <w:pPr>
              <w:spacing w:after="40" w:line="240" w:lineRule="auto"/>
            </w:pPr>
            <w:r>
              <w:rPr>
                <w:b w:val="0"/>
              </w:rPr>
              <w:t>因子编码、行为 K-Means、市场状态矩阵、MACoE、PACoE、层次化 MoE</w:t>
            </w:r>
          </w:p>
        </w:tc>
      </w:tr>
      <w:tr w14:paraId="55D19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BF7F734">
            <w:pPr>
              <w:spacing w:after="40" w:line="240" w:lineRule="auto"/>
            </w:pPr>
            <w:r>
              <w:rPr>
                <w:b w:val="0"/>
              </w:rPr>
              <w:t>验证原则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7269A913">
            <w:pPr>
              <w:spacing w:after="40" w:line="240" w:lineRule="auto"/>
            </w:pPr>
            <w:r>
              <w:rPr>
                <w:b w:val="0"/>
              </w:rPr>
              <w:t>时间顺序切分、严格防止未来数据泄漏、带交易成本样本外回测</w:t>
            </w:r>
          </w:p>
        </w:tc>
      </w:tr>
    </w:tbl>
    <w:p w14:paraId="6B2CD169">
      <w:pPr>
        <w:spacing w:after="0"/>
      </w:pPr>
    </w:p>
    <w:p w14:paraId="453727DB">
      <w:pPr>
        <w:jc w:val="center"/>
      </w:pPr>
      <w:r>
        <w:br w:type="textWrapping"/>
      </w:r>
    </w:p>
    <w:p w14:paraId="435B92A4">
      <w:r>
        <w:br w:type="page"/>
      </w:r>
    </w:p>
    <w:p w14:paraId="56E0E5D5">
      <w:bookmarkStart w:id="0" w:name="_GoBack"/>
      <w:bookmarkEnd w:id="0"/>
      <w:r>
        <w:t>摘要</w:t>
      </w:r>
    </w:p>
    <w:p w14:paraId="212879D0">
      <w:pPr>
        <w:pStyle w:val="19"/>
        <w:spacing w:line="307" w:lineRule="auto"/>
        <w:ind w:firstLine="420"/>
      </w:pPr>
      <w:r>
        <w:t>本研究面向由强化学习等自动化方法生成的候选因子池，提出一套市场状态感知的动态因子组合框架。研究不把单个因子的历史回测排名直接当作最终结论，而是先从多尺度预测能力、稳定性、覆盖率、交易成本和持仓行为等维度构造因子表征，再以因子行为序列进行 K-Means 聚类，获得具有相似表现模式的因子群。在此基础上，使用市场技术与情绪指标构造市场状态矩阵，并通过 MACoE 获取市场环境对各因子的引导分数，通过 PACoE 获取基于近期真实绩效和因子互补性的绩效分数，最后采用层次化 MoE 和动态 Top-k 机制完成因子选择与组合。</w:t>
      </w:r>
    </w:p>
    <w:p w14:paraId="6685EAEA">
      <w:pPr>
        <w:pStyle w:val="19"/>
        <w:spacing w:line="307" w:lineRule="auto"/>
        <w:ind w:firstLine="420"/>
      </w:pPr>
      <w:r>
        <w:t>本方案特别强调研究有效性而非模型复杂度。所有滚动绩效特征、聚类参数、路由器参数和组合权重都必须在训练窗口内确定；验证集用于选择超参数和模型版本，测试集只进行一次最终样本外评估。回测中显式计入手续费、滑点、换手和不可交易约束，并通过静态等权、单一类别、随机选择、无状态路由等基准检验复杂模型是否真正带来增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B2F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2CC"/>
          </w:tcPr>
          <w:p w14:paraId="3CC2C288">
            <w:pPr>
              <w:spacing w:after="0" w:line="276" w:lineRule="auto"/>
            </w:pPr>
            <w:r>
              <w:rPr>
                <w:b/>
              </w:rPr>
              <w:t>重要边界：</w:t>
            </w:r>
            <w:r>
              <w:t>文档中的 MACoE、PACoE 和层次化 MoE 是待实验验证的方法组件，不应在尚未完成训练和样本外检验前表述为已经有效。</w:t>
            </w:r>
          </w:p>
        </w:tc>
      </w:tr>
    </w:tbl>
    <w:p w14:paraId="4324835B">
      <w:pPr>
        <w:spacing w:after="0"/>
      </w:pPr>
    </w:p>
    <w:p w14:paraId="4A913E8E">
      <w:pPr>
        <w:pStyle w:val="3"/>
        <w:keepNext/>
      </w:pPr>
      <w:r>
        <w:t>1 研究背景与问题定义</w:t>
      </w:r>
    </w:p>
    <w:p w14:paraId="7E7ECBF6">
      <w:pPr>
        <w:pStyle w:val="4"/>
        <w:keepNext/>
      </w:pPr>
      <w:r>
        <w:t>1.1 研究背景</w:t>
      </w:r>
    </w:p>
    <w:p w14:paraId="37E7665F">
      <w:pPr>
        <w:pStyle w:val="19"/>
        <w:spacing w:line="307" w:lineRule="auto"/>
        <w:ind w:firstLine="420"/>
      </w:pPr>
      <w:r>
        <w:t>强化学习因子生成器能够在给定字段、算子和质量约束下搜索大量表达式，但自动生成因子通常存在三个问题：经济含义不稳定、因子之间高度相关、历史表现依赖市场环境。单个因子的全样本平均 IC 或回测收益，可能掩盖其在牛市、熊市、震荡或高波动阶段的差异。因而，本研究将因子视为一组随时间变化的预测工具，而不是固定不变的“好因子”或“坏因子”。</w:t>
      </w:r>
    </w:p>
    <w:p w14:paraId="3028C553">
      <w:pPr>
        <w:pStyle w:val="4"/>
        <w:keepNext/>
      </w:pPr>
      <w:r>
        <w:t>1.2 核心研究问题</w:t>
      </w:r>
    </w:p>
    <w:p w14:paraId="049B61DC">
      <w:pPr>
        <w:pStyle w:val="14"/>
        <w:spacing w:line="276" w:lineRule="auto"/>
      </w:pPr>
      <w:r>
        <w:t>如何把可解释性较弱的强化学习因子转换为可比较、可聚类的数值表征？</w:t>
      </w:r>
    </w:p>
    <w:p w14:paraId="1F55D719">
      <w:pPr>
        <w:pStyle w:val="14"/>
        <w:spacing w:line="276" w:lineRule="auto"/>
      </w:pPr>
      <w:r>
        <w:t>如何识别市场所处的状态，并避免使用未来信息定义状态？</w:t>
      </w:r>
    </w:p>
    <w:p w14:paraId="76FB86CD">
      <w:pPr>
        <w:pStyle w:val="14"/>
        <w:spacing w:line="276" w:lineRule="auto"/>
      </w:pPr>
      <w:r>
        <w:t>不同因子类别在不同市场环境下是否存在稳定的相对优势？</w:t>
      </w:r>
    </w:p>
    <w:p w14:paraId="4639272D">
      <w:pPr>
        <w:pStyle w:val="14"/>
        <w:spacing w:line="276" w:lineRule="auto"/>
      </w:pPr>
      <w:r>
        <w:t>能否同时利用市场环境信息和近期绩效信息，动态选择具有互补性的因子？</w:t>
      </w:r>
    </w:p>
    <w:p w14:paraId="5D33900E">
      <w:pPr>
        <w:pStyle w:val="14"/>
        <w:spacing w:line="276" w:lineRule="auto"/>
      </w:pPr>
      <w:r>
        <w:t>动态组合在计入换手和交易成本后，是否仍然优于简单基准？</w:t>
      </w:r>
    </w:p>
    <w:p w14:paraId="3BE5C209">
      <w:pPr>
        <w:pStyle w:val="4"/>
        <w:keepNext/>
      </w:pPr>
      <w:r>
        <w:t>1.3 研究假设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402"/>
        <w:gridCol w:w="4422"/>
      </w:tblGrid>
      <w:tr w14:paraId="579F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4E79"/>
            <w:vAlign w:val="center"/>
          </w:tcPr>
          <w:p w14:paraId="0346374D">
            <w:pPr>
              <w:spacing w:after="40" w:line="240" w:lineRule="auto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2EE200F">
            <w:pPr>
              <w:spacing w:after="40" w:line="240" w:lineRule="auto"/>
            </w:pPr>
            <w:r>
              <w:rPr>
                <w:b/>
                <w:color w:val="FFFFFF"/>
              </w:rPr>
              <w:t>研究假设</w:t>
            </w:r>
          </w:p>
        </w:tc>
        <w:tc>
          <w:tcPr>
            <w:tcW w:w="4422" w:type="dxa"/>
            <w:shd w:val="clear" w:color="auto" w:fill="1F4E79"/>
            <w:vAlign w:val="center"/>
          </w:tcPr>
          <w:p w14:paraId="390C110F">
            <w:pPr>
              <w:spacing w:after="40" w:line="240" w:lineRule="auto"/>
            </w:pPr>
            <w:r>
              <w:rPr>
                <w:b/>
                <w:color w:val="FFFFFF"/>
              </w:rPr>
              <w:t>可检验结果</w:t>
            </w:r>
          </w:p>
        </w:tc>
      </w:tr>
      <w:tr w14:paraId="4FEC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3E215031">
            <w:pPr>
              <w:spacing w:after="40" w:line="240" w:lineRule="auto"/>
            </w:pPr>
            <w:r>
              <w:rPr>
                <w:b w:val="0"/>
              </w:rPr>
              <w:t>H1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25BC0237">
            <w:pPr>
              <w:spacing w:after="40" w:line="240" w:lineRule="auto"/>
            </w:pPr>
            <w:r>
              <w:rPr>
                <w:b w:val="0"/>
              </w:rPr>
              <w:t>具有相似行为序列的因子可以形成相对稳定的行为簇。</w:t>
            </w:r>
          </w:p>
        </w:tc>
        <w:tc>
          <w:tcPr>
            <w:tcW w:w="4422" w:type="dxa"/>
            <w:shd w:val="clear" w:color="auto" w:fill="EAF2F8"/>
            <w:vAlign w:val="center"/>
          </w:tcPr>
          <w:p w14:paraId="104A287A">
            <w:pPr>
              <w:spacing w:after="40" w:line="240" w:lineRule="auto"/>
            </w:pPr>
            <w:r>
              <w:rPr>
                <w:b w:val="0"/>
              </w:rPr>
              <w:t>簇内相关性高于簇间相关性，且聚类在时间滚动中具有稳定性。</w:t>
            </w:r>
          </w:p>
        </w:tc>
      </w:tr>
      <w:tr w14:paraId="1A53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31EFCC3">
            <w:pPr>
              <w:spacing w:after="40" w:line="240" w:lineRule="auto"/>
            </w:pPr>
            <w:r>
              <w:rPr>
                <w:b w:val="0"/>
              </w:rPr>
              <w:t>H2</w:t>
            </w:r>
          </w:p>
        </w:tc>
        <w:tc>
          <w:tcPr>
            <w:tcW w:w="3402" w:type="dxa"/>
            <w:vAlign w:val="center"/>
          </w:tcPr>
          <w:p w14:paraId="34242CA8">
            <w:pPr>
              <w:spacing w:after="40" w:line="240" w:lineRule="auto"/>
            </w:pPr>
            <w:r>
              <w:rPr>
                <w:b w:val="0"/>
              </w:rPr>
              <w:t>市场状态会改变因子类别的相对表现。</w:t>
            </w:r>
          </w:p>
        </w:tc>
        <w:tc>
          <w:tcPr>
            <w:tcW w:w="4422" w:type="dxa"/>
            <w:vAlign w:val="center"/>
          </w:tcPr>
          <w:p w14:paraId="2AAB9536">
            <w:pPr>
              <w:spacing w:after="40" w:line="240" w:lineRule="auto"/>
            </w:pPr>
            <w:r>
              <w:rPr>
                <w:b w:val="0"/>
              </w:rPr>
              <w:t>不同状态下类别条件 Rank IC 或长短收益排序存在差异。</w:t>
            </w:r>
          </w:p>
        </w:tc>
      </w:tr>
      <w:tr w14:paraId="513D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2F8"/>
            <w:vAlign w:val="center"/>
          </w:tcPr>
          <w:p w14:paraId="0A7D64AE">
            <w:pPr>
              <w:spacing w:after="40" w:line="240" w:lineRule="auto"/>
            </w:pPr>
            <w:r>
              <w:rPr>
                <w:b w:val="0"/>
              </w:rPr>
              <w:t>H3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64B560C">
            <w:pPr>
              <w:spacing w:after="40" w:line="240" w:lineRule="auto"/>
            </w:pPr>
            <w:r>
              <w:rPr>
                <w:b w:val="0"/>
              </w:rPr>
              <w:t>市场引导和绩效引导结合比单一路由更稳健。</w:t>
            </w:r>
          </w:p>
        </w:tc>
        <w:tc>
          <w:tcPr>
            <w:tcW w:w="4422" w:type="dxa"/>
            <w:shd w:val="clear" w:color="auto" w:fill="EAF2F8"/>
            <w:vAlign w:val="center"/>
          </w:tcPr>
          <w:p w14:paraId="7FCC5F7D">
            <w:pPr>
              <w:spacing w:after="40" w:line="240" w:lineRule="auto"/>
            </w:pPr>
            <w:r>
              <w:rPr>
                <w:b w:val="0"/>
              </w:rPr>
              <w:t>融合模型在验证和测试期的风险调整收益更稳定。</w:t>
            </w:r>
          </w:p>
        </w:tc>
      </w:tr>
      <w:tr w14:paraId="46CD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9DF8117">
            <w:pPr>
              <w:spacing w:after="40" w:line="240" w:lineRule="auto"/>
            </w:pPr>
            <w:r>
              <w:rPr>
                <w:b w:val="0"/>
              </w:rPr>
              <w:t>H4</w:t>
            </w:r>
          </w:p>
        </w:tc>
        <w:tc>
          <w:tcPr>
            <w:tcW w:w="3402" w:type="dxa"/>
            <w:vAlign w:val="center"/>
          </w:tcPr>
          <w:p w14:paraId="74F0C5C5">
            <w:pPr>
              <w:spacing w:after="40" w:line="240" w:lineRule="auto"/>
            </w:pPr>
            <w:r>
              <w:rPr>
                <w:b w:val="0"/>
              </w:rPr>
              <w:t>考虑相关性和换手约束可以提升净收益质量。</w:t>
            </w:r>
          </w:p>
        </w:tc>
        <w:tc>
          <w:tcPr>
            <w:tcW w:w="4422" w:type="dxa"/>
            <w:vAlign w:val="center"/>
          </w:tcPr>
          <w:p w14:paraId="15A35FCE">
            <w:pPr>
              <w:spacing w:after="40" w:line="240" w:lineRule="auto"/>
            </w:pPr>
            <w:r>
              <w:rPr>
                <w:b w:val="0"/>
              </w:rPr>
              <w:t>成本后 Sharpe、最大回撤或 Calmar 优于无约束组合。</w:t>
            </w:r>
          </w:p>
        </w:tc>
      </w:tr>
    </w:tbl>
    <w:p w14:paraId="4DCE5D16">
      <w:pPr>
        <w:spacing w:after="0"/>
      </w:pPr>
    </w:p>
    <w:p w14:paraId="4445C122">
      <w:pPr>
        <w:pStyle w:val="3"/>
        <w:keepNext/>
      </w:pPr>
      <w:r>
        <w:t>2 总体研究框架</w:t>
      </w:r>
    </w:p>
    <w:p w14:paraId="25136745">
      <w:pPr>
        <w:pStyle w:val="19"/>
        <w:spacing w:line="307" w:lineRule="auto"/>
        <w:ind w:firstLine="420"/>
      </w:pPr>
      <w:r>
        <w:t>整体流程由数据层、表征层、状态层、路由层、组合层和验证层组成。各层通过带 snapshot_id、run_id、配置和输入哈希的研究产物连接，保证一次实验能够被复现和审计。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2058"/>
        <w:gridCol w:w="2759"/>
        <w:gridCol w:w="3856"/>
      </w:tblGrid>
      <w:tr w14:paraId="0338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38DB8AC5">
            <w:pPr>
              <w:spacing w:after="40" w:line="240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8B91098">
            <w:pPr>
              <w:spacing w:after="40" w:line="240" w:lineRule="auto"/>
            </w:pPr>
            <w:r>
              <w:rPr>
                <w:b/>
                <w:color w:val="FFFFFF"/>
              </w:rPr>
              <w:t>输入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6BBA5C23">
            <w:pPr>
              <w:spacing w:after="40" w:line="240" w:lineRule="auto"/>
            </w:pPr>
            <w:r>
              <w:rPr>
                <w:b/>
                <w:color w:val="FFFFFF"/>
              </w:rPr>
              <w:t>主要处理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3FA9AF47">
            <w:pPr>
              <w:spacing w:after="40" w:line="240" w:lineRule="auto"/>
            </w:pPr>
            <w:r>
              <w:rPr>
                <w:b/>
                <w:color w:val="FFFFFF"/>
              </w:rPr>
              <w:t>输出</w:t>
            </w:r>
          </w:p>
        </w:tc>
      </w:tr>
      <w:tr w14:paraId="26E6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vAlign w:val="center"/>
          </w:tcPr>
          <w:p w14:paraId="0CED1114">
            <w:pPr>
              <w:spacing w:after="40" w:line="240" w:lineRule="auto"/>
            </w:pPr>
            <w:r>
              <w:rPr>
                <w:b w:val="0"/>
              </w:rPr>
              <w:t>数据准备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78C532D3">
            <w:pPr>
              <w:spacing w:after="40" w:line="240" w:lineRule="auto"/>
            </w:pPr>
            <w:r>
              <w:rPr>
                <w:b w:val="0"/>
              </w:rPr>
              <w:t>行情、股票池、因子目录、已有指标</w:t>
            </w:r>
          </w:p>
        </w:tc>
        <w:tc>
          <w:tcPr>
            <w:tcW w:w="3005" w:type="dxa"/>
            <w:shd w:val="clear" w:color="auto" w:fill="EAF2F8"/>
            <w:vAlign w:val="center"/>
          </w:tcPr>
          <w:p w14:paraId="4993BEB1">
            <w:pPr>
              <w:spacing w:after="40" w:line="240" w:lineRule="auto"/>
            </w:pPr>
            <w:r>
              <w:rPr>
                <w:b w:val="0"/>
              </w:rPr>
              <w:t>导出独立快照、校验主键、记录来源</w:t>
            </w:r>
          </w:p>
        </w:tc>
        <w:tc>
          <w:tcPr>
            <w:tcW w:w="1984" w:type="dxa"/>
            <w:shd w:val="clear" w:color="auto" w:fill="EAF2F8"/>
            <w:vAlign w:val="center"/>
          </w:tcPr>
          <w:p w14:paraId="08FE543F">
            <w:pPr>
              <w:spacing w:after="40" w:line="240" w:lineRule="auto"/>
            </w:pPr>
            <w:r>
              <w:rPr>
                <w:b w:val="0"/>
              </w:rPr>
              <w:t>market.parquet、factor_catalog.parquet、manifest</w:t>
            </w:r>
          </w:p>
        </w:tc>
      </w:tr>
      <w:tr w14:paraId="1FBC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0384214">
            <w:pPr>
              <w:spacing w:after="40" w:line="240" w:lineRule="auto"/>
            </w:pPr>
            <w:r>
              <w:rPr>
                <w:b w:val="0"/>
              </w:rPr>
              <w:t>逐因子计算</w:t>
            </w:r>
          </w:p>
        </w:tc>
        <w:tc>
          <w:tcPr>
            <w:tcW w:w="2268" w:type="dxa"/>
            <w:vAlign w:val="center"/>
          </w:tcPr>
          <w:p w14:paraId="13C33FA1">
            <w:pPr>
              <w:spacing w:after="40" w:line="240" w:lineRule="auto"/>
            </w:pPr>
            <w:r>
              <w:rPr>
                <w:b w:val="0"/>
              </w:rPr>
              <w:t>因子表达式与原始行情</w:t>
            </w:r>
          </w:p>
        </w:tc>
        <w:tc>
          <w:tcPr>
            <w:tcW w:w="3005" w:type="dxa"/>
            <w:vAlign w:val="center"/>
          </w:tcPr>
          <w:p w14:paraId="71597FF6">
            <w:pPr>
              <w:spacing w:after="40" w:line="240" w:lineRule="auto"/>
            </w:pPr>
            <w:r>
              <w:rPr>
                <w:b w:val="0"/>
              </w:rPr>
              <w:t>按表达式计算每个日期和股票的因子值</w:t>
            </w:r>
          </w:p>
        </w:tc>
        <w:tc>
          <w:tcPr>
            <w:tcW w:w="1984" w:type="dxa"/>
            <w:vAlign w:val="center"/>
          </w:tcPr>
          <w:p w14:paraId="462478B4">
            <w:pPr>
              <w:spacing w:after="40" w:line="240" w:lineRule="auto"/>
            </w:pPr>
            <w:r>
              <w:rPr>
                <w:b w:val="0"/>
              </w:rPr>
              <w:t>factor_values/factor_id=*/values.parquet</w:t>
            </w:r>
          </w:p>
        </w:tc>
      </w:tr>
      <w:tr w14:paraId="352C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vAlign w:val="center"/>
          </w:tcPr>
          <w:p w14:paraId="50822A5F">
            <w:pPr>
              <w:spacing w:after="40" w:line="240" w:lineRule="auto"/>
            </w:pPr>
            <w:r>
              <w:rPr>
                <w:b w:val="0"/>
              </w:rPr>
              <w:t>因子编码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2E4ECD91">
            <w:pPr>
              <w:spacing w:after="40" w:line="240" w:lineRule="auto"/>
            </w:pPr>
            <w:r>
              <w:rPr>
                <w:b w:val="0"/>
              </w:rPr>
              <w:t>因子值、未来收益、已有回测结果</w:t>
            </w:r>
          </w:p>
        </w:tc>
        <w:tc>
          <w:tcPr>
            <w:tcW w:w="3005" w:type="dxa"/>
            <w:shd w:val="clear" w:color="auto" w:fill="EAF2F8"/>
            <w:vAlign w:val="center"/>
          </w:tcPr>
          <w:p w14:paraId="2DF5F125">
            <w:pPr>
              <w:spacing w:after="40" w:line="240" w:lineRule="auto"/>
            </w:pPr>
            <w:r>
              <w:rPr>
                <w:b w:val="0"/>
              </w:rPr>
              <w:t>多尺度统计、标准化、缺失处理</w:t>
            </w:r>
          </w:p>
        </w:tc>
        <w:tc>
          <w:tcPr>
            <w:tcW w:w="1984" w:type="dxa"/>
            <w:shd w:val="clear" w:color="auto" w:fill="EAF2F8"/>
            <w:vAlign w:val="center"/>
          </w:tcPr>
          <w:p w14:paraId="29C18713">
            <w:pPr>
              <w:spacing w:after="40" w:line="240" w:lineRule="auto"/>
            </w:pPr>
            <w:r>
              <w:rPr>
                <w:b w:val="0"/>
              </w:rPr>
              <w:t>因子编码矩阵与行为序列</w:t>
            </w:r>
          </w:p>
        </w:tc>
      </w:tr>
      <w:tr w14:paraId="1D91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FB2B063">
            <w:pPr>
              <w:spacing w:after="40" w:line="240" w:lineRule="auto"/>
            </w:pPr>
            <w:r>
              <w:rPr>
                <w:b w:val="0"/>
              </w:rPr>
              <w:t>行为聚类</w:t>
            </w:r>
          </w:p>
        </w:tc>
        <w:tc>
          <w:tcPr>
            <w:tcW w:w="2268" w:type="dxa"/>
            <w:vAlign w:val="center"/>
          </w:tcPr>
          <w:p w14:paraId="5ED69180">
            <w:pPr>
              <w:spacing w:after="40" w:line="240" w:lineRule="auto"/>
            </w:pPr>
            <w:r>
              <w:rPr>
                <w:b w:val="0"/>
              </w:rPr>
              <w:t>因子 IC/Rank IC/斜率序列</w:t>
            </w:r>
          </w:p>
        </w:tc>
        <w:tc>
          <w:tcPr>
            <w:tcW w:w="3005" w:type="dxa"/>
            <w:vAlign w:val="center"/>
          </w:tcPr>
          <w:p w14:paraId="6A4C912C">
            <w:pPr>
              <w:spacing w:after="40" w:line="240" w:lineRule="auto"/>
            </w:pPr>
            <w:r>
              <w:rPr>
                <w:b w:val="0"/>
              </w:rPr>
              <w:t>训练期标准化、K-Means、稳定性检验</w:t>
            </w:r>
          </w:p>
        </w:tc>
        <w:tc>
          <w:tcPr>
            <w:tcW w:w="1984" w:type="dxa"/>
            <w:vAlign w:val="center"/>
          </w:tcPr>
          <w:p w14:paraId="5D07A43E">
            <w:pPr>
              <w:spacing w:after="40" w:line="240" w:lineRule="auto"/>
            </w:pPr>
            <w:r>
              <w:rPr>
                <w:b w:val="0"/>
              </w:rPr>
              <w:t>cluster_labels、cluster_centers</w:t>
            </w:r>
          </w:p>
        </w:tc>
      </w:tr>
      <w:tr w14:paraId="064A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vAlign w:val="center"/>
          </w:tcPr>
          <w:p w14:paraId="3ECBAB60">
            <w:pPr>
              <w:spacing w:after="40" w:line="240" w:lineRule="auto"/>
            </w:pPr>
            <w:r>
              <w:rPr>
                <w:b w:val="0"/>
              </w:rPr>
              <w:t>状态识别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5569DE91">
            <w:pPr>
              <w:spacing w:after="40" w:line="240" w:lineRule="auto"/>
            </w:pPr>
            <w:r>
              <w:rPr>
                <w:b w:val="0"/>
              </w:rPr>
              <w:t>市场技术、广度、情绪指标</w:t>
            </w:r>
          </w:p>
        </w:tc>
        <w:tc>
          <w:tcPr>
            <w:tcW w:w="3005" w:type="dxa"/>
            <w:shd w:val="clear" w:color="auto" w:fill="EAF2F8"/>
            <w:vAlign w:val="center"/>
          </w:tcPr>
          <w:p w14:paraId="28583F4F">
            <w:pPr>
              <w:spacing w:after="40" w:line="240" w:lineRule="auto"/>
            </w:pPr>
            <w:r>
              <w:rPr>
                <w:b w:val="0"/>
              </w:rPr>
              <w:t>滚动窗口、状态模型或规则</w:t>
            </w:r>
          </w:p>
        </w:tc>
        <w:tc>
          <w:tcPr>
            <w:tcW w:w="1984" w:type="dxa"/>
            <w:shd w:val="clear" w:color="auto" w:fill="EAF2F8"/>
            <w:vAlign w:val="center"/>
          </w:tcPr>
          <w:p w14:paraId="21FD7FE2">
            <w:pPr>
              <w:spacing w:after="40" w:line="240" w:lineRule="auto"/>
            </w:pPr>
            <w:r>
              <w:rPr>
                <w:b w:val="0"/>
              </w:rPr>
              <w:t>market_states.parquet</w:t>
            </w:r>
          </w:p>
        </w:tc>
      </w:tr>
      <w:tr w14:paraId="3A1F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5E7A94D">
            <w:pPr>
              <w:spacing w:after="40" w:line="240" w:lineRule="auto"/>
            </w:pPr>
            <w:r>
              <w:rPr>
                <w:b w:val="0"/>
              </w:rPr>
              <w:t>动态路由</w:t>
            </w:r>
          </w:p>
        </w:tc>
        <w:tc>
          <w:tcPr>
            <w:tcW w:w="2268" w:type="dxa"/>
            <w:vAlign w:val="center"/>
          </w:tcPr>
          <w:p w14:paraId="512DF13C">
            <w:pPr>
              <w:spacing w:after="40" w:line="240" w:lineRule="auto"/>
            </w:pPr>
            <w:r>
              <w:rPr>
                <w:b w:val="0"/>
              </w:rPr>
              <w:t>市场窗口、因子绩效窗口、聚类标签</w:t>
            </w:r>
          </w:p>
        </w:tc>
        <w:tc>
          <w:tcPr>
            <w:tcW w:w="3005" w:type="dxa"/>
            <w:vAlign w:val="center"/>
          </w:tcPr>
          <w:p w14:paraId="33827D0A">
            <w:pPr>
              <w:spacing w:after="40" w:line="240" w:lineRule="auto"/>
            </w:pPr>
            <w:r>
              <w:rPr>
                <w:b w:val="0"/>
              </w:rPr>
              <w:t>MACoE、PACoE、Group/Factor Router</w:t>
            </w:r>
          </w:p>
        </w:tc>
        <w:tc>
          <w:tcPr>
            <w:tcW w:w="1984" w:type="dxa"/>
            <w:vAlign w:val="center"/>
          </w:tcPr>
          <w:p w14:paraId="1F6EDC14">
            <w:pPr>
              <w:spacing w:after="40" w:line="240" w:lineRule="auto"/>
            </w:pPr>
            <w:r>
              <w:rPr>
                <w:b w:val="0"/>
              </w:rPr>
              <w:t>类别分数、因子分数、mask、权重</w:t>
            </w:r>
          </w:p>
        </w:tc>
      </w:tr>
      <w:tr w14:paraId="58BE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EAF2F8"/>
            <w:vAlign w:val="center"/>
          </w:tcPr>
          <w:p w14:paraId="4EE0E22C">
            <w:pPr>
              <w:spacing w:after="40" w:line="240" w:lineRule="auto"/>
            </w:pPr>
            <w:r>
              <w:rPr>
                <w:b w:val="0"/>
              </w:rPr>
              <w:t>组合回测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272F83C5">
            <w:pPr>
              <w:spacing w:after="40" w:line="240" w:lineRule="auto"/>
            </w:pPr>
            <w:r>
              <w:rPr>
                <w:b w:val="0"/>
              </w:rPr>
              <w:t>因子值、动态权重、行情约束</w:t>
            </w:r>
          </w:p>
        </w:tc>
        <w:tc>
          <w:tcPr>
            <w:tcW w:w="3005" w:type="dxa"/>
            <w:shd w:val="clear" w:color="auto" w:fill="EAF2F8"/>
            <w:vAlign w:val="center"/>
          </w:tcPr>
          <w:p w14:paraId="60A0A7FC">
            <w:pPr>
              <w:spacing w:after="40" w:line="240" w:lineRule="auto"/>
            </w:pPr>
            <w:r>
              <w:rPr>
                <w:b w:val="0"/>
              </w:rPr>
              <w:t>下一交易时点执行、费用和滑点</w:t>
            </w:r>
          </w:p>
        </w:tc>
        <w:tc>
          <w:tcPr>
            <w:tcW w:w="1984" w:type="dxa"/>
            <w:shd w:val="clear" w:color="auto" w:fill="EAF2F8"/>
            <w:vAlign w:val="center"/>
          </w:tcPr>
          <w:p w14:paraId="18301498">
            <w:pPr>
              <w:spacing w:after="40" w:line="240" w:lineRule="auto"/>
            </w:pPr>
            <w:r>
              <w:rPr>
                <w:b w:val="0"/>
              </w:rPr>
              <w:t>净值、持仓、交易、绩效指标</w:t>
            </w:r>
          </w:p>
        </w:tc>
      </w:tr>
    </w:tbl>
    <w:p w14:paraId="730184C0">
      <w:pPr>
        <w:spacing w:after="0"/>
      </w:pPr>
    </w:p>
    <w:p w14:paraId="76187B57">
      <w:pPr>
        <w:pStyle w:val="4"/>
        <w:keepNext/>
      </w:pPr>
      <w:r>
        <w:t>2.1 研究对象与符号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EE5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40FA531">
            <w:pPr>
              <w:spacing w:after="40" w:line="240" w:lineRule="auto"/>
            </w:pPr>
            <w:r>
              <w:rPr>
                <w:b/>
                <w:color w:val="FFFFFF"/>
              </w:rPr>
              <w:t>符号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0D3EBA1">
            <w:pPr>
              <w:spacing w:after="40" w:line="240" w:lineRule="auto"/>
            </w:pPr>
            <w:r>
              <w:rPr>
                <w:b/>
                <w:color w:val="FFFFFF"/>
              </w:rPr>
              <w:t>含义</w:t>
            </w:r>
          </w:p>
        </w:tc>
      </w:tr>
      <w:tr w14:paraId="24BB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7D50B98">
            <w:pPr>
              <w:spacing w:after="40" w:line="240" w:lineRule="auto"/>
            </w:pPr>
            <w:r>
              <w:rPr>
                <w:b w:val="0"/>
              </w:rPr>
              <w:t>t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38CFA38B">
            <w:pPr>
              <w:spacing w:after="40" w:line="240" w:lineRule="auto"/>
            </w:pPr>
            <w:r>
              <w:rPr>
                <w:b w:val="0"/>
              </w:rPr>
              <w:t>交易日索引</w:t>
            </w:r>
          </w:p>
        </w:tc>
      </w:tr>
      <w:tr w14:paraId="25B2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A8F681">
            <w:pPr>
              <w:spacing w:after="40" w:line="240" w:lineRule="auto"/>
            </w:pPr>
            <w:r>
              <w:rPr>
                <w:b w:val="0"/>
              </w:rPr>
              <w:t>i</w:t>
            </w:r>
          </w:p>
        </w:tc>
        <w:tc>
          <w:tcPr>
            <w:tcW w:w="6236" w:type="dxa"/>
            <w:vAlign w:val="center"/>
          </w:tcPr>
          <w:p w14:paraId="47D3B3C6">
            <w:pPr>
              <w:spacing w:after="40" w:line="240" w:lineRule="auto"/>
            </w:pPr>
            <w:r>
              <w:rPr>
                <w:b w:val="0"/>
              </w:rPr>
              <w:t>股票索引</w:t>
            </w:r>
          </w:p>
        </w:tc>
      </w:tr>
      <w:tr w14:paraId="429C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D9A1CE1">
            <w:pPr>
              <w:spacing w:after="40" w:line="240" w:lineRule="auto"/>
            </w:pPr>
            <w:r>
              <w:rPr>
                <w:b w:val="0"/>
              </w:rPr>
              <w:t>k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2ABC6E5D">
            <w:pPr>
              <w:spacing w:after="40" w:line="240" w:lineRule="auto"/>
            </w:pPr>
            <w:r>
              <w:rPr>
                <w:b w:val="0"/>
              </w:rPr>
              <w:t>候选因子索引，候选池规模为 K</w:t>
            </w:r>
          </w:p>
        </w:tc>
      </w:tr>
      <w:tr w14:paraId="276D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638F9D">
            <w:pPr>
              <w:spacing w:after="40" w:line="240" w:lineRule="auto"/>
            </w:pPr>
            <w:r>
              <w:rPr>
                <w:b w:val="0"/>
              </w:rPr>
              <w:t>r</w:t>
            </w:r>
          </w:p>
        </w:tc>
        <w:tc>
          <w:tcPr>
            <w:tcW w:w="6236" w:type="dxa"/>
            <w:vAlign w:val="center"/>
          </w:tcPr>
          <w:p w14:paraId="37BAC0B9">
            <w:pPr>
              <w:spacing w:after="40" w:line="240" w:lineRule="auto"/>
            </w:pPr>
            <w:r>
              <w:rPr>
                <w:b w:val="0"/>
              </w:rPr>
              <w:t>预测周期，例如 20 个交易日</w:t>
            </w:r>
          </w:p>
        </w:tc>
      </w:tr>
      <w:tr w14:paraId="0627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4470DB5">
            <w:pPr>
              <w:spacing w:after="40" w:line="240" w:lineRule="auto"/>
            </w:pPr>
            <w:r>
              <w:rPr>
                <w:b w:val="0"/>
              </w:rPr>
              <w:t>y_{i,t}^{(r)}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14A486B9">
            <w:pPr>
              <w:spacing w:after="40" w:line="240" w:lineRule="auto"/>
            </w:pPr>
            <w:r>
              <w:rPr>
                <w:b w:val="0"/>
              </w:rPr>
              <w:t>股票 i 在 t 日之后 r 日的未来收益</w:t>
            </w:r>
          </w:p>
        </w:tc>
      </w:tr>
      <w:tr w14:paraId="116B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4CBA2D">
            <w:pPr>
              <w:spacing w:after="40" w:line="240" w:lineRule="auto"/>
            </w:pPr>
            <w:r>
              <w:rPr>
                <w:b w:val="0"/>
              </w:rPr>
              <w:t>x_{i,t,k}</w:t>
            </w:r>
          </w:p>
        </w:tc>
        <w:tc>
          <w:tcPr>
            <w:tcW w:w="6236" w:type="dxa"/>
            <w:vAlign w:val="center"/>
          </w:tcPr>
          <w:p w14:paraId="4A3E21DF">
            <w:pPr>
              <w:spacing w:after="40" w:line="240" w:lineRule="auto"/>
            </w:pPr>
            <w:r>
              <w:rPr>
                <w:b w:val="0"/>
              </w:rPr>
              <w:t>因子 k 在 t 日对股票 i 的因子值</w:t>
            </w:r>
          </w:p>
        </w:tc>
      </w:tr>
      <w:tr w14:paraId="34AE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ECE0229">
            <w:pPr>
              <w:spacing w:after="40" w:line="240" w:lineRule="auto"/>
            </w:pPr>
            <w:r>
              <w:rPr>
                <w:b w:val="0"/>
              </w:rPr>
              <w:t>s_t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3EE92C36">
            <w:pPr>
              <w:spacing w:after="40" w:line="240" w:lineRule="auto"/>
            </w:pPr>
            <w:r>
              <w:rPr>
                <w:b w:val="0"/>
              </w:rPr>
              <w:t>t 日市场状态</w:t>
            </w:r>
          </w:p>
        </w:tc>
      </w:tr>
      <w:tr w14:paraId="59F4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3BD73E">
            <w:pPr>
              <w:spacing w:after="40" w:line="240" w:lineRule="auto"/>
            </w:pPr>
            <w:r>
              <w:rPr>
                <w:b w:val="0"/>
              </w:rPr>
              <w:t>g_{t,k}</w:t>
            </w:r>
          </w:p>
        </w:tc>
        <w:tc>
          <w:tcPr>
            <w:tcW w:w="6236" w:type="dxa"/>
            <w:vAlign w:val="center"/>
          </w:tcPr>
          <w:p w14:paraId="225A4EF2">
            <w:pPr>
              <w:spacing w:after="40" w:line="240" w:lineRule="auto"/>
            </w:pPr>
            <w:r>
              <w:rPr>
                <w:b w:val="0"/>
              </w:rPr>
              <w:t>MACoE 对因子 k 的市场引导分数</w:t>
            </w:r>
          </w:p>
        </w:tc>
      </w:tr>
      <w:tr w14:paraId="73E3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8B717D3">
            <w:pPr>
              <w:spacing w:after="40" w:line="240" w:lineRule="auto"/>
            </w:pPr>
            <w:r>
              <w:rPr>
                <w:b w:val="0"/>
              </w:rPr>
              <w:t>p_{t,k}</w:t>
            </w:r>
          </w:p>
        </w:tc>
        <w:tc>
          <w:tcPr>
            <w:tcW w:w="6236" w:type="dxa"/>
            <w:shd w:val="clear" w:color="auto" w:fill="EAF2F8"/>
            <w:vAlign w:val="center"/>
          </w:tcPr>
          <w:p w14:paraId="453C7C50">
            <w:pPr>
              <w:spacing w:after="40" w:line="240" w:lineRule="auto"/>
            </w:pPr>
            <w:r>
              <w:rPr>
                <w:b w:val="0"/>
              </w:rPr>
              <w:t>PACoE 对因子 k 的绩效引导分数</w:t>
            </w:r>
          </w:p>
        </w:tc>
      </w:tr>
      <w:tr w14:paraId="2DDD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C10925">
            <w:pPr>
              <w:spacing w:after="40" w:line="240" w:lineRule="auto"/>
            </w:pPr>
            <w:r>
              <w:rPr>
                <w:b w:val="0"/>
              </w:rPr>
              <w:t>w_{t,k}</w:t>
            </w:r>
          </w:p>
        </w:tc>
        <w:tc>
          <w:tcPr>
            <w:tcW w:w="6236" w:type="dxa"/>
            <w:vAlign w:val="center"/>
          </w:tcPr>
          <w:p w14:paraId="058BF25F">
            <w:pPr>
              <w:spacing w:after="40" w:line="240" w:lineRule="auto"/>
            </w:pPr>
            <w:r>
              <w:rPr>
                <w:b w:val="0"/>
              </w:rPr>
              <w:t>t 日组合中因子 k 的权重</w:t>
            </w:r>
          </w:p>
        </w:tc>
      </w:tr>
    </w:tbl>
    <w:p w14:paraId="1698CD39">
      <w:pPr>
        <w:spacing w:after="0"/>
      </w:pPr>
    </w:p>
    <w:p w14:paraId="19EA37E9">
      <w:pPr>
        <w:pStyle w:val="3"/>
        <w:keepNext/>
      </w:pPr>
      <w:r>
        <w:t>3 因子候选池构建</w:t>
      </w:r>
    </w:p>
    <w:p w14:paraId="58747C36">
      <w:pPr>
        <w:pStyle w:val="4"/>
        <w:keepNext/>
      </w:pPr>
      <w:r>
        <w:t>3.1 因子来源</w:t>
      </w:r>
    </w:p>
    <w:p w14:paraId="58E77D0C">
      <w:pPr>
        <w:pStyle w:val="19"/>
        <w:spacing w:line="307" w:lineRule="auto"/>
        <w:ind w:firstLine="420"/>
      </w:pPr>
      <w:r>
        <w:t>候选因子可以来自 PPO/AlphaGen 等强化学习生成器，也可以来自人工公式、遗传编程或已有研究。进入本研究的因子必须保留表达式、生成运行编号、股票池、预测方向、接受状态和来源签名。研究系统只把原系统作为数据来源，通过导出生成独立快照；后续研究模块不得隐式导入原系统运行时。</w:t>
      </w:r>
    </w:p>
    <w:p w14:paraId="3C26423F">
      <w:pPr>
        <w:pStyle w:val="4"/>
        <w:keepNext/>
      </w:pPr>
      <w:r>
        <w:t>3.2 候选池准入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3971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AA7BAC3">
            <w:pPr>
              <w:spacing w:after="40" w:line="240" w:lineRule="auto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C457636">
            <w:pPr>
              <w:spacing w:after="40" w:line="240" w:lineRule="auto"/>
            </w:pPr>
            <w:r>
              <w:rPr>
                <w:b/>
                <w:color w:val="FFFFFF"/>
              </w:rPr>
              <w:t>原则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4B5F5BD">
            <w:pPr>
              <w:spacing w:after="40" w:line="240" w:lineRule="auto"/>
            </w:pPr>
            <w:r>
              <w:rPr>
                <w:b/>
                <w:color w:val="FFFFFF"/>
              </w:rPr>
              <w:t>处理方式</w:t>
            </w:r>
          </w:p>
        </w:tc>
      </w:tr>
      <w:tr w14:paraId="4A60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17FA1D08">
            <w:pPr>
              <w:spacing w:after="40" w:line="240" w:lineRule="auto"/>
            </w:pPr>
            <w:r>
              <w:rPr>
                <w:b w:val="0"/>
              </w:rPr>
              <w:t>表达式合法性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1EB0848E">
            <w:pPr>
              <w:spacing w:after="40" w:line="240" w:lineRule="auto"/>
            </w:pPr>
            <w:r>
              <w:rPr>
                <w:b w:val="0"/>
              </w:rPr>
              <w:t>字段、算子和参数必须可解析。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9882B20">
            <w:pPr>
              <w:spacing w:after="40" w:line="240" w:lineRule="auto"/>
            </w:pPr>
            <w:r>
              <w:rPr>
                <w:b w:val="0"/>
              </w:rPr>
              <w:t>无法解析则剔除并记录错误。</w:t>
            </w:r>
          </w:p>
        </w:tc>
      </w:tr>
      <w:tr w14:paraId="31555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25581AA3">
            <w:pPr>
              <w:spacing w:after="40" w:line="240" w:lineRule="auto"/>
            </w:pPr>
            <w:r>
              <w:rPr>
                <w:b w:val="0"/>
              </w:rPr>
              <w:t>覆盖率</w:t>
            </w:r>
          </w:p>
        </w:tc>
        <w:tc>
          <w:tcPr>
            <w:tcW w:w="3402" w:type="dxa"/>
            <w:vAlign w:val="center"/>
          </w:tcPr>
          <w:p w14:paraId="23741487">
            <w:pPr>
              <w:spacing w:after="40" w:line="240" w:lineRule="auto"/>
            </w:pPr>
            <w:r>
              <w:rPr>
                <w:b w:val="0"/>
              </w:rPr>
              <w:t>因子值覆盖率达到预设下限。</w:t>
            </w:r>
          </w:p>
        </w:tc>
        <w:tc>
          <w:tcPr>
            <w:tcW w:w="3402" w:type="dxa"/>
            <w:vAlign w:val="center"/>
          </w:tcPr>
          <w:p w14:paraId="3458607F">
            <w:pPr>
              <w:spacing w:after="40" w:line="240" w:lineRule="auto"/>
            </w:pPr>
            <w:r>
              <w:rPr>
                <w:b w:val="0"/>
              </w:rPr>
              <w:t>低覆盖因子不能直接进入模型。</w:t>
            </w:r>
          </w:p>
        </w:tc>
      </w:tr>
      <w:tr w14:paraId="327F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3E5A23DE">
            <w:pPr>
              <w:spacing w:after="40" w:line="240" w:lineRule="auto"/>
            </w:pPr>
            <w:r>
              <w:rPr>
                <w:b w:val="0"/>
              </w:rPr>
              <w:t>样本数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18B78FF">
            <w:pPr>
              <w:spacing w:after="40" w:line="240" w:lineRule="auto"/>
            </w:pPr>
            <w:r>
              <w:rPr>
                <w:b w:val="0"/>
              </w:rPr>
              <w:t>每天有效截面至少包含最小股票数。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4683132D">
            <w:pPr>
              <w:spacing w:after="40" w:line="240" w:lineRule="auto"/>
            </w:pPr>
            <w:r>
              <w:rPr>
                <w:b w:val="0"/>
              </w:rPr>
              <w:t>不足的日期只记为缺失，不填零。</w:t>
            </w:r>
          </w:p>
        </w:tc>
      </w:tr>
      <w:tr w14:paraId="14E5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673A42">
            <w:pPr>
              <w:spacing w:after="40" w:line="240" w:lineRule="auto"/>
            </w:pPr>
            <w:r>
              <w:rPr>
                <w:b w:val="0"/>
              </w:rPr>
              <w:t>预测方向</w:t>
            </w:r>
          </w:p>
        </w:tc>
        <w:tc>
          <w:tcPr>
            <w:tcW w:w="3402" w:type="dxa"/>
            <w:vAlign w:val="center"/>
          </w:tcPr>
          <w:p w14:paraId="54BAAEB0">
            <w:pPr>
              <w:spacing w:after="40" w:line="240" w:lineRule="auto"/>
            </w:pPr>
            <w:r>
              <w:rPr>
                <w:b w:val="0"/>
              </w:rPr>
              <w:t>正向和反向因子方向必须统一或显式记录。</w:t>
            </w:r>
          </w:p>
        </w:tc>
        <w:tc>
          <w:tcPr>
            <w:tcW w:w="3402" w:type="dxa"/>
            <w:vAlign w:val="center"/>
          </w:tcPr>
          <w:p w14:paraId="149BD5D6">
            <w:pPr>
              <w:spacing w:after="40" w:line="240" w:lineRule="auto"/>
            </w:pPr>
            <w:r>
              <w:rPr>
                <w:b w:val="0"/>
              </w:rPr>
              <w:t>根据训练期方向转换，不能查看测试期决定。</w:t>
            </w:r>
          </w:p>
        </w:tc>
      </w:tr>
      <w:tr w14:paraId="10D6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4506956D">
            <w:pPr>
              <w:spacing w:after="40" w:line="240" w:lineRule="auto"/>
            </w:pPr>
            <w:r>
              <w:rPr>
                <w:b w:val="0"/>
              </w:rPr>
              <w:t>极值与异常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E6EDA3B">
            <w:pPr>
              <w:spacing w:after="40" w:line="240" w:lineRule="auto"/>
            </w:pPr>
            <w:r>
              <w:rPr>
                <w:b w:val="0"/>
              </w:rPr>
              <w:t>避免无穷、极端数值和常数序列。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5ECBF8B3">
            <w:pPr>
              <w:spacing w:after="40" w:line="240" w:lineRule="auto"/>
            </w:pPr>
            <w:r>
              <w:rPr>
                <w:b w:val="0"/>
              </w:rPr>
              <w:t>截尾、标准化或剔除，并保留规则。</w:t>
            </w:r>
          </w:p>
        </w:tc>
      </w:tr>
      <w:tr w14:paraId="2D0C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0ABA8B">
            <w:pPr>
              <w:spacing w:after="40" w:line="240" w:lineRule="auto"/>
            </w:pPr>
            <w:r>
              <w:rPr>
                <w:b w:val="0"/>
              </w:rPr>
              <w:t>可交易性</w:t>
            </w:r>
          </w:p>
        </w:tc>
        <w:tc>
          <w:tcPr>
            <w:tcW w:w="3402" w:type="dxa"/>
            <w:vAlign w:val="center"/>
          </w:tcPr>
          <w:p w14:paraId="6163C25C">
            <w:pPr>
              <w:spacing w:after="40" w:line="240" w:lineRule="auto"/>
            </w:pPr>
            <w:r>
              <w:rPr>
                <w:b w:val="0"/>
              </w:rPr>
              <w:t>因子值和目标收益必须满足信息时点约束。</w:t>
            </w:r>
          </w:p>
        </w:tc>
        <w:tc>
          <w:tcPr>
            <w:tcW w:w="3402" w:type="dxa"/>
            <w:vAlign w:val="center"/>
          </w:tcPr>
          <w:p w14:paraId="5408603C">
            <w:pPr>
              <w:spacing w:after="40" w:line="240" w:lineRule="auto"/>
            </w:pPr>
            <w:r>
              <w:rPr>
                <w:b w:val="0"/>
              </w:rPr>
              <w:t>使用 t 日可得值预测 t+1 以后收益。</w:t>
            </w:r>
          </w:p>
        </w:tc>
      </w:tr>
    </w:tbl>
    <w:p w14:paraId="46FDECBF">
      <w:pPr>
        <w:spacing w:after="0"/>
      </w:pPr>
    </w:p>
    <w:p w14:paraId="21771B88">
      <w:pPr>
        <w:pStyle w:val="4"/>
        <w:keepNext/>
      </w:pPr>
      <w:r>
        <w:t>3.3 候选池规模控制</w:t>
      </w:r>
    </w:p>
    <w:p w14:paraId="5C36B8C2">
      <w:pPr>
        <w:pStyle w:val="19"/>
        <w:spacing w:line="307" w:lineRule="auto"/>
        <w:ind w:firstLine="420"/>
      </w:pPr>
      <w:r>
        <w:t>原始因子数量可以较大，但 MACoE/PACoE 不宜直接对上千个高度相关因子进行复杂注意力和动态选择。建议采用两级候选池：先对全部 accepted 因子进行质量过滤和行为聚类，再从每个簇中选取若干代表因子，形成约 20 至 50 个的模型候选池。代表因子的选择只使用训练期指标，并同时考虑绩效和互相关。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DE9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2CC"/>
          </w:tcPr>
          <w:p w14:paraId="295924F3">
            <w:pPr>
              <w:spacing w:after="0" w:line="276" w:lineRule="auto"/>
            </w:pPr>
            <w:r>
              <w:rPr>
                <w:b/>
              </w:rPr>
              <w:t>规模建议：</w:t>
            </w:r>
            <w:r>
              <w:t>当前系统已有 1,264 个因子逐因子值。第一轮完整模型实验建议压缩至 20-50 个代表因子；原始 1,264 个因子保留用于稳健性分析和后续扩展。</w:t>
            </w:r>
          </w:p>
        </w:tc>
      </w:tr>
    </w:tbl>
    <w:p w14:paraId="7BC35056">
      <w:pPr>
        <w:spacing w:after="0"/>
      </w:pPr>
    </w:p>
    <w:p w14:paraId="7404DEE3">
      <w:pPr>
        <w:pStyle w:val="3"/>
        <w:keepNext/>
      </w:pPr>
      <w:r>
        <w:t>4 因子值计算与预处理</w:t>
      </w:r>
    </w:p>
    <w:p w14:paraId="51A820B0">
      <w:pPr>
        <w:pStyle w:val="4"/>
        <w:keepNext/>
      </w:pPr>
      <w:r>
        <w:t>4.1 因子值定义</w:t>
      </w:r>
    </w:p>
    <w:p w14:paraId="55CDDBE1">
      <w:pPr>
        <w:pStyle w:val="19"/>
        <w:spacing w:line="307" w:lineRule="auto"/>
        <w:ind w:firstLine="420"/>
      </w:pPr>
      <w:r>
        <w:t>对每个因子表达式 f_k，在每个交易日 t 和股票 i 上计算 x_{i,t,k}=f_k(Z_{i,\leq t})，其中 Z 表示原始行情及已知技术字段。滚动算子只能使用当前日及之前的数据。因子值文件统一采用长表格式：date、code、factor_id、value。</w:t>
      </w:r>
    </w:p>
    <w:p w14:paraId="640CFCF0">
      <w:pPr>
        <w:pStyle w:val="164"/>
        <w:jc w:val="center"/>
      </w:pPr>
      <w:r>
        <w:t>x_{i,t,k}=f_k(open, close, high, low, volume, amount, technical_{\leq t})</w:t>
      </w:r>
    </w:p>
    <w:p w14:paraId="56919DA9">
      <w:pPr>
        <w:pStyle w:val="4"/>
        <w:keepNext/>
      </w:pPr>
      <w:r>
        <w:t>4.2 未来收益标签</w:t>
      </w:r>
    </w:p>
    <w:p w14:paraId="20D69E02">
      <w:pPr>
        <w:pStyle w:val="19"/>
        <w:spacing w:line="307" w:lineRule="auto"/>
        <w:ind w:firstLine="420"/>
      </w:pPr>
      <w:r>
        <w:t>若预测周期为 r，则股票级未来收益定义为当前价格到未来价格的收益。为了模拟 t 日收盘后形成信号、下一交易时点执行的场景，标签和交易执行时点必须在实验配置中明确区分。</w:t>
      </w:r>
    </w:p>
    <w:p w14:paraId="1A872060">
      <w:pPr>
        <w:pStyle w:val="164"/>
        <w:jc w:val="center"/>
      </w:pPr>
      <w:r>
        <w:t>y_{i,t}^{(r)}=\frac{P_{i,t+r}}{P_{i,t}}-1</w:t>
      </w:r>
    </w:p>
    <w:p w14:paraId="143A03E3">
      <w:pPr>
        <w:pStyle w:val="19"/>
        <w:spacing w:line="307" w:lineRule="auto"/>
        <w:ind w:firstLine="420"/>
      </w:pPr>
      <w:r>
        <w:t>最后 r 个交易日由于缺少未来价格，其标签为空，不能填充为 0。若股票中途停牌，必须使用交易日索引和可交易约束处理，不能把自然日偏移误当成交易日偏移。</w:t>
      </w:r>
    </w:p>
    <w:p w14:paraId="22636C52">
      <w:pPr>
        <w:pStyle w:val="4"/>
        <w:keepNext/>
      </w:pPr>
      <w:r>
        <w:t>4.3 截面标准化</w:t>
      </w:r>
    </w:p>
    <w:p w14:paraId="02756319">
      <w:pPr>
        <w:pStyle w:val="19"/>
        <w:spacing w:line="307" w:lineRule="auto"/>
        <w:ind w:firstLine="420"/>
      </w:pPr>
      <w:r>
        <w:t>为了消除价格量纲和极端值影响，先在每个日期的可投资截面内做截尾，再进行 Z-score 或 Rank-Gaussian 标准化。标准化参数可以是截面自身的统计量，因为它只使用当日可见数据；如果使用跨时间滚动均值和方差，则必须只使用过去窗口。</w:t>
      </w:r>
    </w:p>
    <w:p w14:paraId="3340BA8E">
      <w:pPr>
        <w:pStyle w:val="164"/>
        <w:jc w:val="center"/>
      </w:pPr>
      <w:r>
        <w:t>\tilde{x}_{i,t,k}=\frac{clip(x_{i,t,k},q_{0.01},q_{0.99})-\mu_{t,k}}{\sigma_{t,k}+\epsilon}</w:t>
      </w:r>
    </w:p>
    <w:p w14:paraId="3D149C4C">
      <w:pPr>
        <w:pStyle w:val="3"/>
        <w:keepNext/>
      </w:pPr>
      <w:r>
        <w:t>5 多尺度因子表征与因子编码</w:t>
      </w:r>
    </w:p>
    <w:p w14:paraId="0642801A">
      <w:pPr>
        <w:pStyle w:val="4"/>
        <w:keepNext/>
      </w:pPr>
      <w:r>
        <w:t>5.1 编码思想</w:t>
      </w:r>
    </w:p>
    <w:p w14:paraId="011AABF6">
      <w:pPr>
        <w:pStyle w:val="19"/>
        <w:spacing w:line="307" w:lineRule="auto"/>
        <w:ind w:firstLine="420"/>
      </w:pPr>
      <w:r>
        <w:t>因子编码的目标不是简单复制一个总分，而是保留因子在不同预测周期、不同时间窗口和不同评价维度上的行为。对每个因子 k，在训练窗口内构造由生成阶段指标、滚动预测指标和回测行为组成的向量 phi_k。</w:t>
      </w:r>
    </w:p>
    <w:p w14:paraId="7AF63D50">
      <w:pPr>
        <w:pStyle w:val="164"/>
        <w:jc w:val="center"/>
      </w:pPr>
      <w:r>
        <w:t>phi_k=[IC_{short},IC_{mid},IC_{long},RIC_{short},RIC_{mid},RIC_{long},ICIR,coverage,turnover,cost,drawdown,holding]</w:t>
      </w:r>
      <w:r>
        <w:br w:type="textWrapping"/>
      </w:r>
    </w:p>
    <w:p w14:paraId="09F2B16E">
      <w:pPr>
        <w:pStyle w:val="4"/>
        <w:keepNext/>
      </w:pPr>
      <w:r>
        <w:t>5.2 指标定义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69"/>
        <w:gridCol w:w="3061"/>
      </w:tblGrid>
      <w:tr w14:paraId="05BA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043A6A2E">
            <w:pPr>
              <w:spacing w:after="40" w:line="240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01FA2D8">
            <w:pPr>
              <w:spacing w:after="40" w:line="240" w:lineRule="auto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C2ED5F5">
            <w:pPr>
              <w:spacing w:after="40" w:line="240" w:lineRule="auto"/>
            </w:pPr>
            <w:r>
              <w:rPr>
                <w:b/>
                <w:color w:val="FFFFFF"/>
              </w:rPr>
              <w:t>研究解释</w:t>
            </w:r>
          </w:p>
        </w:tc>
      </w:tr>
      <w:tr w14:paraId="2412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vAlign w:val="center"/>
          </w:tcPr>
          <w:p w14:paraId="0F02A9E9">
            <w:pPr>
              <w:spacing w:after="40" w:line="240" w:lineRule="auto"/>
            </w:pPr>
            <w:r>
              <w:rPr>
                <w:b w:val="0"/>
              </w:rPr>
              <w:t>IC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2EFFEDBA">
            <w:pPr>
              <w:spacing w:after="40" w:line="240" w:lineRule="auto"/>
            </w:pPr>
            <w:r>
              <w:rPr>
                <w:b w:val="0"/>
              </w:rPr>
              <w:t>因子值与未来收益的 Pearson 相关。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703669F6">
            <w:pPr>
              <w:spacing w:after="40" w:line="240" w:lineRule="auto"/>
            </w:pPr>
            <w:r>
              <w:rPr>
                <w:b w:val="0"/>
              </w:rPr>
              <w:t>衡量线性预测能力。</w:t>
            </w:r>
          </w:p>
        </w:tc>
      </w:tr>
      <w:tr w14:paraId="2BEA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7877B08">
            <w:pPr>
              <w:spacing w:after="40" w:line="240" w:lineRule="auto"/>
            </w:pPr>
            <w:r>
              <w:rPr>
                <w:b w:val="0"/>
              </w:rPr>
              <w:t>Rank IC</w:t>
            </w:r>
          </w:p>
        </w:tc>
        <w:tc>
          <w:tcPr>
            <w:tcW w:w="3969" w:type="dxa"/>
            <w:vAlign w:val="center"/>
          </w:tcPr>
          <w:p w14:paraId="5D56AB1C">
            <w:pPr>
              <w:spacing w:after="40" w:line="240" w:lineRule="auto"/>
            </w:pPr>
            <w:r>
              <w:rPr>
                <w:b w:val="0"/>
              </w:rPr>
              <w:t>因子排名与未来收益排名的 Spearman 相关。</w:t>
            </w:r>
          </w:p>
        </w:tc>
        <w:tc>
          <w:tcPr>
            <w:tcW w:w="3061" w:type="dxa"/>
            <w:vAlign w:val="center"/>
          </w:tcPr>
          <w:p w14:paraId="51879195">
            <w:pPr>
              <w:spacing w:after="40" w:line="240" w:lineRule="auto"/>
            </w:pPr>
            <w:r>
              <w:rPr>
                <w:b w:val="0"/>
              </w:rPr>
              <w:t>衡量排序能力，适合选股场景。</w:t>
            </w:r>
          </w:p>
        </w:tc>
      </w:tr>
      <w:tr w14:paraId="75FE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vAlign w:val="center"/>
          </w:tcPr>
          <w:p w14:paraId="11FCFD1C">
            <w:pPr>
              <w:spacing w:after="40" w:line="240" w:lineRule="auto"/>
            </w:pPr>
            <w:r>
              <w:rPr>
                <w:b w:val="0"/>
              </w:rPr>
              <w:t>ICIR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1CDE312">
            <w:pPr>
              <w:spacing w:after="40" w:line="240" w:lineRule="auto"/>
            </w:pPr>
            <w:r>
              <w:rPr>
                <w:b w:val="0"/>
              </w:rPr>
              <w:t>日度 IC 均值除以 IC 样本标准差。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21AC3AF7">
            <w:pPr>
              <w:spacing w:after="40" w:line="240" w:lineRule="auto"/>
            </w:pPr>
            <w:r>
              <w:rPr>
                <w:b w:val="0"/>
              </w:rPr>
              <w:t>衡量预测能力稳定性。</w:t>
            </w:r>
          </w:p>
        </w:tc>
      </w:tr>
      <w:tr w14:paraId="104F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4AC98A7">
            <w:pPr>
              <w:spacing w:after="40" w:line="240" w:lineRule="auto"/>
            </w:pPr>
            <w:r>
              <w:rPr>
                <w:b w:val="0"/>
              </w:rPr>
              <w:t>Coverage</w:t>
            </w:r>
          </w:p>
        </w:tc>
        <w:tc>
          <w:tcPr>
            <w:tcW w:w="3969" w:type="dxa"/>
            <w:vAlign w:val="center"/>
          </w:tcPr>
          <w:p w14:paraId="20BE50AB">
            <w:pPr>
              <w:spacing w:after="40" w:line="240" w:lineRule="auto"/>
            </w:pPr>
            <w:r>
              <w:rPr>
                <w:b w:val="0"/>
              </w:rPr>
              <w:t>有效因子值占理论样本的比例。</w:t>
            </w:r>
          </w:p>
        </w:tc>
        <w:tc>
          <w:tcPr>
            <w:tcW w:w="3061" w:type="dxa"/>
            <w:vAlign w:val="center"/>
          </w:tcPr>
          <w:p w14:paraId="71CD96C5">
            <w:pPr>
              <w:spacing w:after="40" w:line="240" w:lineRule="auto"/>
            </w:pPr>
            <w:r>
              <w:rPr>
                <w:b w:val="0"/>
              </w:rPr>
              <w:t>衡量可用性，不能用 0 代替缺失。</w:t>
            </w:r>
          </w:p>
        </w:tc>
      </w:tr>
      <w:tr w14:paraId="2AA3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vAlign w:val="center"/>
          </w:tcPr>
          <w:p w14:paraId="3C06229F">
            <w:pPr>
              <w:spacing w:after="40" w:line="240" w:lineRule="auto"/>
            </w:pPr>
            <w:r>
              <w:rPr>
                <w:b w:val="0"/>
              </w:rPr>
              <w:t>回归斜率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293802B6">
            <w:pPr>
              <w:spacing w:after="40" w:line="240" w:lineRule="auto"/>
            </w:pPr>
            <w:r>
              <w:rPr>
                <w:b w:val="0"/>
              </w:rPr>
              <w:t>截面回归 y 对标准化因子值的斜率。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02471F5C">
            <w:pPr>
              <w:spacing w:after="40" w:line="240" w:lineRule="auto"/>
            </w:pPr>
            <w:r>
              <w:rPr>
                <w:b w:val="0"/>
              </w:rPr>
              <w:t>衡量预测幅度和经济量纲。</w:t>
            </w:r>
          </w:p>
        </w:tc>
      </w:tr>
      <w:tr w14:paraId="3513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42142EC">
            <w:pPr>
              <w:spacing w:after="40" w:line="240" w:lineRule="auto"/>
            </w:pPr>
            <w:r>
              <w:rPr>
                <w:b w:val="0"/>
              </w:rPr>
              <w:t>换手率</w:t>
            </w:r>
          </w:p>
        </w:tc>
        <w:tc>
          <w:tcPr>
            <w:tcW w:w="3969" w:type="dxa"/>
            <w:vAlign w:val="center"/>
          </w:tcPr>
          <w:p w14:paraId="5178B24B">
            <w:pPr>
              <w:spacing w:after="40" w:line="240" w:lineRule="auto"/>
            </w:pPr>
            <w:r>
              <w:rPr>
                <w:b w:val="0"/>
              </w:rPr>
              <w:t>相邻调仓期持仓变化规模。</w:t>
            </w:r>
          </w:p>
        </w:tc>
        <w:tc>
          <w:tcPr>
            <w:tcW w:w="3061" w:type="dxa"/>
            <w:vAlign w:val="center"/>
          </w:tcPr>
          <w:p w14:paraId="4CB9876E">
            <w:pPr>
              <w:spacing w:after="40" w:line="240" w:lineRule="auto"/>
            </w:pPr>
            <w:r>
              <w:rPr>
                <w:b w:val="0"/>
              </w:rPr>
              <w:t>衡量交易活跃度和成本风险。</w:t>
            </w:r>
          </w:p>
        </w:tc>
      </w:tr>
      <w:tr w14:paraId="779F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vAlign w:val="center"/>
          </w:tcPr>
          <w:p w14:paraId="654DE0C6">
            <w:pPr>
              <w:spacing w:after="40" w:line="240" w:lineRule="auto"/>
            </w:pPr>
            <w:r>
              <w:rPr>
                <w:b w:val="0"/>
              </w:rPr>
              <w:t>最大回撤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5D19C2F8">
            <w:pPr>
              <w:spacing w:after="40" w:line="240" w:lineRule="auto"/>
            </w:pPr>
            <w:r>
              <w:rPr>
                <w:b w:val="0"/>
              </w:rPr>
              <w:t>净值从历史高点到低点的最大跌幅。</w:t>
            </w:r>
          </w:p>
        </w:tc>
        <w:tc>
          <w:tcPr>
            <w:tcW w:w="3061" w:type="dxa"/>
            <w:shd w:val="clear" w:color="auto" w:fill="EAF2F8"/>
            <w:vAlign w:val="center"/>
          </w:tcPr>
          <w:p w14:paraId="4A3DDC90">
            <w:pPr>
              <w:spacing w:after="40" w:line="240" w:lineRule="auto"/>
            </w:pPr>
            <w:r>
              <w:rPr>
                <w:b w:val="0"/>
              </w:rPr>
              <w:t>衡量尾部风险。</w:t>
            </w:r>
          </w:p>
        </w:tc>
      </w:tr>
      <w:tr w14:paraId="7582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F73DAA9">
            <w:pPr>
              <w:spacing w:after="40" w:line="240" w:lineRule="auto"/>
            </w:pPr>
            <w:r>
              <w:rPr>
                <w:b w:val="0"/>
              </w:rPr>
              <w:t>平均持仓数</w:t>
            </w:r>
          </w:p>
        </w:tc>
        <w:tc>
          <w:tcPr>
            <w:tcW w:w="3969" w:type="dxa"/>
            <w:vAlign w:val="center"/>
          </w:tcPr>
          <w:p w14:paraId="0A416767">
            <w:pPr>
              <w:spacing w:after="40" w:line="240" w:lineRule="auto"/>
            </w:pPr>
            <w:r>
              <w:rPr>
                <w:b w:val="0"/>
              </w:rPr>
              <w:t>回测期间实际持有股票数量均值。</w:t>
            </w:r>
          </w:p>
        </w:tc>
        <w:tc>
          <w:tcPr>
            <w:tcW w:w="3061" w:type="dxa"/>
            <w:vAlign w:val="center"/>
          </w:tcPr>
          <w:p w14:paraId="0D68CD39">
            <w:pPr>
              <w:spacing w:after="40" w:line="240" w:lineRule="auto"/>
            </w:pPr>
            <w:r>
              <w:rPr>
                <w:b w:val="0"/>
              </w:rPr>
              <w:t>衡量组合分散程度。</w:t>
            </w:r>
          </w:p>
        </w:tc>
      </w:tr>
    </w:tbl>
    <w:p w14:paraId="33450D76">
      <w:pPr>
        <w:spacing w:after="0"/>
      </w:pPr>
    </w:p>
    <w:p w14:paraId="692C3F38">
      <w:pPr>
        <w:pStyle w:val="4"/>
        <w:keepNext/>
      </w:pPr>
      <w:r>
        <w:t>5.3 多尺度窗口</w:t>
      </w:r>
    </w:p>
    <w:p w14:paraId="4167EF53">
      <w:pPr>
        <w:pStyle w:val="19"/>
        <w:spacing w:line="307" w:lineRule="auto"/>
        <w:ind w:firstLine="420"/>
      </w:pPr>
      <w:r>
        <w:t>建议至少使用短、中、长三个窗口。例如 20、60、120 个交易日分别描述近期、中期和长期状态。对于每一个窗口，计算 IC 均值、IC 波动、ICIR、Rank IC 均值、Rank ICIR、正 IC 比例、覆盖率和回归斜率等统计量。窗口长度应作为验证集超参数，而不是使用测试集调节。</w:t>
      </w:r>
    </w:p>
    <w:p w14:paraId="663F2545">
      <w:pPr>
        <w:pStyle w:val="4"/>
        <w:keepNext/>
      </w:pPr>
      <w:r>
        <w:t>5.4 编码标准化和方向统一</w:t>
      </w:r>
    </w:p>
    <w:p w14:paraId="64D320DF">
      <w:pPr>
        <w:pStyle w:val="19"/>
        <w:spacing w:line="307" w:lineRule="auto"/>
        <w:ind w:firstLine="420"/>
      </w:pPr>
      <w:r>
        <w:t>编码矩阵的每一列在训练期内进行标准化。对于因子方向，如果训练窗口中 Rank IC 均值为负，可将因子值乘以 -1 并记录 direction_flip=true；不能根据测试期方向重新翻转。缺失指标保留 NaN，并在模型输入层采用显式 mask 或训练期统计量填充。</w:t>
      </w:r>
    </w:p>
    <w:p w14:paraId="48917082">
      <w:pPr>
        <w:pStyle w:val="3"/>
        <w:keepNext/>
      </w:pPr>
      <w:r>
        <w:t>6 基于行为序列的 K-Means 因子聚类</w:t>
      </w:r>
    </w:p>
    <w:p w14:paraId="5C98086B">
      <w:pPr>
        <w:pStyle w:val="4"/>
        <w:keepNext/>
      </w:pPr>
      <w:r>
        <w:t>6.1 聚类输入</w:t>
      </w:r>
    </w:p>
    <w:p w14:paraId="75AEF414">
      <w:pPr>
        <w:pStyle w:val="19"/>
        <w:spacing w:line="307" w:lineRule="auto"/>
        <w:ind w:firstLine="420"/>
      </w:pPr>
      <w:r>
        <w:t>与只按表达式字段分类不同，行为聚类使用因子随时间变化的绩效序列。对每个因子 k，构造按日期排列的行为向量，例如 b_k=[IC_{k,t_1},...,IC_{k,t_n},RankIC_{k,t_1},...,RankIC_{k,t_n}]，也可以使用多尺度窗口摘要和因子收益序列。所有行为特征必须由训练期数据产生。</w:t>
      </w:r>
    </w:p>
    <w:p w14:paraId="701BBFD6">
      <w:pPr>
        <w:pStyle w:val="164"/>
        <w:jc w:val="center"/>
      </w:pPr>
      <w:r>
        <w:t>b_k=[z(IC_{k,t}),z(RankIC_{k,t}),z(beta_{k,t}),z(LS_{k,t})]_{t\in T_{train}}</w:t>
      </w:r>
    </w:p>
    <w:p w14:paraId="2A8B7EE2">
      <w:pPr>
        <w:pStyle w:val="4"/>
        <w:keepNext/>
      </w:pPr>
      <w:r>
        <w:t>6.2 K-Means 目标函数</w:t>
      </w:r>
    </w:p>
    <w:p w14:paraId="3923E4AA">
      <w:pPr>
        <w:pStyle w:val="164"/>
        <w:jc w:val="center"/>
      </w:pPr>
      <w:r>
        <w:t>min_{C,mu} \sum_{k=1}^{K} ||b_k-mu_{c_k}||_2^2</w:t>
      </w:r>
    </w:p>
    <w:p w14:paraId="52A1E54C">
      <w:pPr>
        <w:pStyle w:val="19"/>
        <w:spacing w:line="307" w:lineRule="auto"/>
        <w:ind w:firstLine="420"/>
      </w:pPr>
      <w:r>
        <w:t>其中 c_k 是因子 k 所属簇，mu_c 是第 c 个簇的中心。实现时需要固定随机种子、初始化方法、最大迭代次数和缺失处理规则。因子行为向量的距离可以使用欧氏距离，也可以在实验中比较相关距离或余弦距离，但必须把距离定义记录在配置中。</w:t>
      </w:r>
    </w:p>
    <w:p w14:paraId="4A9A24F4">
      <w:pPr>
        <w:pStyle w:val="4"/>
        <w:keepNext/>
      </w:pPr>
      <w:r>
        <w:t>6.3 簇数 K 的选择</w:t>
      </w:r>
    </w:p>
    <w:p w14:paraId="6827D965">
      <w:pPr>
        <w:pStyle w:val="19"/>
        <w:spacing w:line="307" w:lineRule="auto"/>
        <w:ind w:firstLine="420"/>
      </w:pPr>
      <w:r>
        <w:t>K 不应根据测试集收益选择。训练期可以使用肘部法、轮廓系数、Calinski-Harabasz 指标和簇内外相关性进行候选比较；验证集用于确认 K 的稳健性。若 K 过小，不同策略行为被强行合并；若 K 过大，类别会失去统计意义且每簇样本太少。建议先比较 K=4、6、8、10。</w:t>
      </w:r>
    </w:p>
    <w:p w14:paraId="588F0AA8">
      <w:pPr>
        <w:pStyle w:val="4"/>
        <w:keepNext/>
      </w:pPr>
      <w:r>
        <w:t>6.4 聚类稳定性</w:t>
      </w:r>
    </w:p>
    <w:p w14:paraId="0D236320">
      <w:pPr>
        <w:pStyle w:val="19"/>
        <w:spacing w:line="307" w:lineRule="auto"/>
        <w:ind w:firstLine="420"/>
      </w:pPr>
      <w:r>
        <w:t>需要进行重采样稳定性、滚动窗口稳定性和随机种子稳定性检查。可用 Adjusted Rand Index、Normalized Mutual Information 和簇中心相关性比较不同训练窗口产生的标签。如果同一因子在相邻训练窗口频繁跳簇，应将聚类作为描述性标签，而不是直接作为强约束。</w:t>
      </w:r>
    </w:p>
    <w:p w14:paraId="02945C70">
      <w:pPr>
        <w:pStyle w:val="4"/>
        <w:keepNext/>
      </w:pPr>
      <w:r>
        <w:t>6.5 簇的解释</w:t>
      </w:r>
    </w:p>
    <w:p w14:paraId="2E00BFC3">
      <w:pPr>
        <w:pStyle w:val="19"/>
        <w:spacing w:line="307" w:lineRule="auto"/>
        <w:ind w:firstLine="420"/>
      </w:pPr>
      <w:r>
        <w:t>聚类编号本身没有经济含义，不能直接命名为动量簇或反转簇。完成聚类后，根据训练期簇中心在 IC、Rank IC、换手、波动等维度的统计特征进行事后描述，并保留 category_source=behavior_kmeans。若需要经济含义标签，必须由研究者基于表达式和行为共同解释。</w:t>
      </w:r>
    </w:p>
    <w:p w14:paraId="7FE4F799">
      <w:pPr>
        <w:pStyle w:val="4"/>
        <w:keepNext/>
      </w:pPr>
      <w:r>
        <w:t>6.6 代表因子选择</w:t>
      </w:r>
    </w:p>
    <w:p w14:paraId="4E50CABF">
      <w:pPr>
        <w:pStyle w:val="19"/>
        <w:spacing w:line="307" w:lineRule="auto"/>
        <w:ind w:firstLine="420"/>
      </w:pPr>
      <w:r>
        <w:t>每个簇内选择若干代表因子，优先使用训练期综合绩效、稳定性、覆盖率和成本后的分数，同时限制代表因子之间的 Spearman 相关。代表因子选择是候选池压缩步骤，不能使用验证或测试期结果。</w:t>
      </w:r>
    </w:p>
    <w:p w14:paraId="0395E38B">
      <w:pPr>
        <w:pStyle w:val="3"/>
        <w:keepNext/>
      </w:pPr>
      <w:r>
        <w:t>7 市场状态矩阵构建</w:t>
      </w:r>
    </w:p>
    <w:p w14:paraId="62450439">
      <w:pPr>
        <w:pStyle w:val="4"/>
        <w:keepNext/>
      </w:pPr>
      <w:r>
        <w:t>7.1 市场状态的定义</w:t>
      </w:r>
    </w:p>
    <w:p w14:paraId="69A5F271">
      <w:pPr>
        <w:pStyle w:val="19"/>
        <w:spacing w:line="307" w:lineRule="auto"/>
        <w:ind w:firstLine="420"/>
      </w:pPr>
      <w:r>
        <w:t>市场状态不是对未来收益的直接分类，而是对当前可观察环境的压缩表示。状态输入应来自市场或股票池的历史行情、成交、广度和情绪指标。若使用指数或外部宏观数据，必须记录数据发布日期和可用时点。</w:t>
      </w:r>
    </w:p>
    <w:p w14:paraId="2ADF209C">
      <w:pPr>
        <w:pStyle w:val="4"/>
        <w:keepNext/>
      </w:pPr>
      <w:r>
        <w:t>7.2 40 日市场窗口</w:t>
      </w:r>
    </w:p>
    <w:p w14:paraId="69F0A490">
      <w:pPr>
        <w:pStyle w:val="19"/>
        <w:spacing w:line="307" w:lineRule="auto"/>
        <w:ind w:firstLine="420"/>
      </w:pPr>
      <w:r>
        <w:t>按照原研究思路，对每个决策日 t 回看最近 tau=40 个交易日，形成市场状态矩阵 Gamma_t。矩阵的行是历史日期，列是市场特征。原方案中的 72 个指标可以作为目标规模，但在实际实验中应先从独立数据快照中确认字段可用性。</w:t>
      </w:r>
    </w:p>
    <w:p w14:paraId="285F03CA">
      <w:pPr>
        <w:pStyle w:val="164"/>
        <w:jc w:val="center"/>
      </w:pPr>
      <w:r>
        <w:t>Gamma_t=[gamma_{t-39},gamma_{t-38},...,gamma_t]^T \in R^{40\times m}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0265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43F3F4D">
            <w:pPr>
              <w:spacing w:after="40" w:line="240" w:lineRule="auto"/>
            </w:pPr>
            <w:r>
              <w:rPr>
                <w:b/>
                <w:color w:val="FFFFFF"/>
              </w:rPr>
              <w:t>指标组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6D415F7">
            <w:pPr>
              <w:spacing w:after="40" w:line="240" w:lineRule="auto"/>
            </w:pPr>
            <w:r>
              <w:rPr>
                <w:b/>
                <w:color w:val="FFFFFF"/>
              </w:rPr>
              <w:t>示例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9F0DBC4">
            <w:pPr>
              <w:spacing w:after="40" w:line="240" w:lineRule="auto"/>
            </w:pPr>
            <w:r>
              <w:rPr>
                <w:b/>
                <w:color w:val="FFFFFF"/>
              </w:rPr>
              <w:t>作用</w:t>
            </w:r>
          </w:p>
        </w:tc>
      </w:tr>
      <w:tr w14:paraId="7897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29926CB3">
            <w:pPr>
              <w:spacing w:after="40" w:line="240" w:lineRule="auto"/>
            </w:pPr>
            <w:r>
              <w:rPr>
                <w:b w:val="0"/>
              </w:rPr>
              <w:t>趋势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38194F83">
            <w:pPr>
              <w:spacing w:after="40" w:line="240" w:lineRule="auto"/>
            </w:pPr>
            <w:r>
              <w:rPr>
                <w:b w:val="0"/>
              </w:rPr>
              <w:t>市场收益、MA5/MA20/MA60、均线斜率、价格距均线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2C07F61F">
            <w:pPr>
              <w:spacing w:after="40" w:line="240" w:lineRule="auto"/>
            </w:pPr>
            <w:r>
              <w:rPr>
                <w:b w:val="0"/>
              </w:rPr>
              <w:t>描述方向和趋势强度。</w:t>
            </w:r>
          </w:p>
        </w:tc>
      </w:tr>
      <w:tr w14:paraId="35CD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595A44">
            <w:pPr>
              <w:spacing w:after="40" w:line="240" w:lineRule="auto"/>
            </w:pPr>
            <w:r>
              <w:rPr>
                <w:b w:val="0"/>
              </w:rPr>
              <w:t>波动</w:t>
            </w:r>
          </w:p>
        </w:tc>
        <w:tc>
          <w:tcPr>
            <w:tcW w:w="3969" w:type="dxa"/>
            <w:vAlign w:val="center"/>
          </w:tcPr>
          <w:p w14:paraId="249EEEA2">
            <w:pPr>
              <w:spacing w:after="40" w:line="240" w:lineRule="auto"/>
            </w:pPr>
            <w:r>
              <w:rPr>
                <w:b w:val="0"/>
              </w:rPr>
              <w:t>收益标准差、ATR、横截面离散度、波动变化率</w:t>
            </w:r>
          </w:p>
        </w:tc>
        <w:tc>
          <w:tcPr>
            <w:tcW w:w="2835" w:type="dxa"/>
            <w:vAlign w:val="center"/>
          </w:tcPr>
          <w:p w14:paraId="540E238A">
            <w:pPr>
              <w:spacing w:after="40" w:line="240" w:lineRule="auto"/>
            </w:pPr>
            <w:r>
              <w:rPr>
                <w:b w:val="0"/>
              </w:rPr>
              <w:t>描述风险和状态切换。</w:t>
            </w:r>
          </w:p>
        </w:tc>
      </w:tr>
      <w:tr w14:paraId="7100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411FFCB0">
            <w:pPr>
              <w:spacing w:after="40" w:line="240" w:lineRule="auto"/>
            </w:pPr>
            <w:r>
              <w:rPr>
                <w:b w:val="0"/>
              </w:rPr>
              <w:t>流动性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266E23EC">
            <w:pPr>
              <w:spacing w:after="40" w:line="240" w:lineRule="auto"/>
            </w:pPr>
            <w:r>
              <w:rPr>
                <w:b w:val="0"/>
              </w:rPr>
              <w:t>成交量均线、成交额变化、换手率分位数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458EE738">
            <w:pPr>
              <w:spacing w:after="40" w:line="240" w:lineRule="auto"/>
            </w:pPr>
            <w:r>
              <w:rPr>
                <w:b w:val="0"/>
              </w:rPr>
              <w:t>描述资金活跃度和交易容量。</w:t>
            </w:r>
          </w:p>
        </w:tc>
      </w:tr>
      <w:tr w14:paraId="7D90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EE738C">
            <w:pPr>
              <w:spacing w:after="40" w:line="240" w:lineRule="auto"/>
            </w:pPr>
            <w:r>
              <w:rPr>
                <w:b w:val="0"/>
              </w:rPr>
              <w:t>市场广度</w:t>
            </w:r>
          </w:p>
        </w:tc>
        <w:tc>
          <w:tcPr>
            <w:tcW w:w="3969" w:type="dxa"/>
            <w:vAlign w:val="center"/>
          </w:tcPr>
          <w:p w14:paraId="14642A6F">
            <w:pPr>
              <w:spacing w:after="40" w:line="240" w:lineRule="auto"/>
            </w:pPr>
            <w:r>
              <w:rPr>
                <w:b w:val="0"/>
              </w:rPr>
              <w:t>上涨比例、下跌比例、创新高/低比例、涨跌停数量</w:t>
            </w:r>
          </w:p>
        </w:tc>
        <w:tc>
          <w:tcPr>
            <w:tcW w:w="2835" w:type="dxa"/>
            <w:vAlign w:val="center"/>
          </w:tcPr>
          <w:p w14:paraId="45706BB7">
            <w:pPr>
              <w:spacing w:after="40" w:line="240" w:lineRule="auto"/>
            </w:pPr>
            <w:r>
              <w:rPr>
                <w:b w:val="0"/>
              </w:rPr>
              <w:t>描述参与度和内部结构。</w:t>
            </w:r>
          </w:p>
        </w:tc>
      </w:tr>
      <w:tr w14:paraId="0764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38387BEA">
            <w:pPr>
              <w:spacing w:after="40" w:line="240" w:lineRule="auto"/>
            </w:pPr>
            <w:r>
              <w:rPr>
                <w:b w:val="0"/>
              </w:rPr>
              <w:t>情绪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1EBF0110">
            <w:pPr>
              <w:spacing w:after="40" w:line="240" w:lineRule="auto"/>
            </w:pPr>
            <w:r>
              <w:rPr>
                <w:b w:val="0"/>
              </w:rPr>
              <w:t>强弱股票比例、连续上涨/下跌家数、极端收益比例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6B42BC52">
            <w:pPr>
              <w:spacing w:after="40" w:line="240" w:lineRule="auto"/>
            </w:pPr>
            <w:r>
              <w:rPr>
                <w:b w:val="0"/>
              </w:rPr>
              <w:t>描述风险偏好和拥挤程度。</w:t>
            </w:r>
          </w:p>
        </w:tc>
      </w:tr>
      <w:tr w14:paraId="1BF8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6F2629">
            <w:pPr>
              <w:spacing w:after="40" w:line="240" w:lineRule="auto"/>
            </w:pPr>
            <w:r>
              <w:rPr>
                <w:b w:val="0"/>
              </w:rPr>
              <w:t>外部环境</w:t>
            </w:r>
          </w:p>
        </w:tc>
        <w:tc>
          <w:tcPr>
            <w:tcW w:w="3969" w:type="dxa"/>
            <w:vAlign w:val="center"/>
          </w:tcPr>
          <w:p w14:paraId="3D0B1DD9">
            <w:pPr>
              <w:spacing w:after="40" w:line="240" w:lineRule="auto"/>
            </w:pPr>
            <w:r>
              <w:rPr>
                <w:b w:val="0"/>
              </w:rPr>
              <w:t>可获得的指数、利率、商品或宏观变量</w:t>
            </w:r>
          </w:p>
        </w:tc>
        <w:tc>
          <w:tcPr>
            <w:tcW w:w="2835" w:type="dxa"/>
            <w:vAlign w:val="center"/>
          </w:tcPr>
          <w:p w14:paraId="7F866C22">
            <w:pPr>
              <w:spacing w:after="40" w:line="240" w:lineRule="auto"/>
            </w:pPr>
            <w:r>
              <w:rPr>
                <w:b w:val="0"/>
              </w:rPr>
              <w:t>只在发布时间可追溯时使用。</w:t>
            </w:r>
          </w:p>
        </w:tc>
      </w:tr>
    </w:tbl>
    <w:p w14:paraId="731C48AA">
      <w:pPr>
        <w:spacing w:after="0"/>
      </w:pPr>
    </w:p>
    <w:p w14:paraId="21DA614E">
      <w:pPr>
        <w:pStyle w:val="4"/>
        <w:keepNext/>
      </w:pPr>
      <w:r>
        <w:t>7.3 滚动标准化</w:t>
      </w:r>
    </w:p>
    <w:p w14:paraId="711A4E83">
      <w:pPr>
        <w:pStyle w:val="19"/>
        <w:spacing w:line="307" w:lineRule="auto"/>
        <w:ind w:firstLine="420"/>
      </w:pPr>
      <w:r>
        <w:t>市场指标应按过去窗口进行标准化，避免用全样本均值和方差把测试期信息泄漏到训练期。对于缺失的外部指标，可以使用最近一次已发布值，但必须标记发布日期和填充规则。</w:t>
      </w:r>
    </w:p>
    <w:p w14:paraId="51895155">
      <w:pPr>
        <w:pStyle w:val="164"/>
        <w:jc w:val="center"/>
      </w:pPr>
      <w:r>
        <w:t>\hat{gamma}_{j,t}=\frac{gamma_{j,t}-mean(gamma_{j,t-L:t-1})}{std(gamma_{j,t-L:t-1})+epsilon}</w:t>
      </w:r>
    </w:p>
    <w:p w14:paraId="06FCBFCC">
      <w:pPr>
        <w:pStyle w:val="4"/>
        <w:keepNext/>
      </w:pPr>
      <w:r>
        <w:t>7.4 状态识别方法</w:t>
      </w:r>
    </w:p>
    <w:p w14:paraId="777956DB">
      <w:pPr>
        <w:pStyle w:val="19"/>
        <w:spacing w:line="307" w:lineRule="auto"/>
        <w:ind w:firstLine="420"/>
      </w:pPr>
      <w:r>
        <w:t>第一阶段可以使用可解释规则标签作为基线，例如根据市场趋势和波动阈值识别 bull、bear、sideways、high_volatility。第二阶段可以在训练期拟合 K-Means 或 HMM，验证和测试期只调用已拟合模型。无论采用规则还是聚类，都必须保存 state_method、fit_window_end、特征列、阈值或模型参数。</w:t>
      </w:r>
    </w:p>
    <w:p w14:paraId="210D131A">
      <w:pPr>
        <w:pStyle w:val="3"/>
        <w:keepNext/>
      </w:pPr>
      <w:r>
        <w:t>8 MACoE：市场引导注意力中心</w:t>
      </w:r>
    </w:p>
    <w:p w14:paraId="0A637020">
      <w:pPr>
        <w:pStyle w:val="4"/>
        <w:keepNext/>
      </w:pPr>
      <w:r>
        <w:t>8.1 目标</w:t>
      </w:r>
    </w:p>
    <w:p w14:paraId="71AFC8A4">
      <w:pPr>
        <w:pStyle w:val="19"/>
        <w:spacing w:line="307" w:lineRule="auto"/>
        <w:ind w:firstLine="420"/>
      </w:pPr>
      <w:r>
        <w:t>MACoE 用来回答：根据最近市场环境，候选池中的每个因子在当前时点应该有多重要。它关注的是市场叙事和环境结构，不直接等同于近期绩效。输出是长度为 K 的市场引导分数向量。</w:t>
      </w:r>
    </w:p>
    <w:p w14:paraId="13E40575">
      <w:pPr>
        <w:pStyle w:val="4"/>
        <w:keepNext/>
      </w:pPr>
      <w:r>
        <w:t>8.2 时间注意力分支</w:t>
      </w:r>
    </w:p>
    <w:p w14:paraId="5F82DB84">
      <w:pPr>
        <w:pStyle w:val="19"/>
        <w:spacing w:line="307" w:lineRule="auto"/>
        <w:ind w:firstLine="420"/>
      </w:pPr>
      <w:r>
        <w:t>对 Gamma_t 的 40 个历史时点进行多头注意力，让模型学习近期环境变化和不同市场指标之间的时间依赖。例如最近五日波动突然升高时，模型可以提高这些日期的注意力权重，而不是对 40 日数据简单平均。</w:t>
      </w:r>
    </w:p>
    <w:p w14:paraId="65B0F933">
      <w:pPr>
        <w:pStyle w:val="164"/>
        <w:jc w:val="center"/>
      </w:pPr>
      <w:r>
        <w:t>Attention(Q,K,V)=softmax(QK^T/sqrt(d_k))V</w:t>
      </w:r>
    </w:p>
    <w:p w14:paraId="1E3E0FD0">
      <w:pPr>
        <w:pStyle w:val="164"/>
        <w:jc w:val="center"/>
      </w:pPr>
      <w:r>
        <w:t>gamma_1(t)=MeanPool(MultiHeadAttention(Gamma_t))</w:t>
      </w:r>
    </w:p>
    <w:p w14:paraId="7AE86000">
      <w:pPr>
        <w:pStyle w:val="4"/>
        <w:keepNext/>
      </w:pPr>
      <w:r>
        <w:t>8.3 链式专家网络 CoE</w:t>
      </w:r>
    </w:p>
    <w:p w14:paraId="3CD41253">
      <w:pPr>
        <w:pStyle w:val="19"/>
        <w:spacing w:line="307" w:lineRule="auto"/>
        <w:ind w:firstLine="420"/>
      </w:pPr>
      <w:r>
        <w:t>将 40 日矩阵沿时间维求平均，得到市场摘要 gamma_input。设置 E=8 个两层 MLP 专家，每个专家使用 Linear-ReLU-Dropout 结构。Router 根据 gamma_input 生成专家权重，上一轮专家输出作为下一轮输入，重复 D=4 轮，获得非线性市场摘要 gamma_2。</w:t>
      </w:r>
    </w:p>
    <w:p w14:paraId="1B5DF133">
      <w:pPr>
        <w:pStyle w:val="164"/>
        <w:jc w:val="center"/>
      </w:pPr>
      <w:r>
        <w:t>a^{(d)}=softmax(R^{(d)}(h^{(d-1)})),\quad h^{(d)}=sum_{e=1}^{E}a_e^{(d)}Expert_e^{(d)}(h^{(d-1)})</w:t>
      </w:r>
    </w:p>
    <w:p w14:paraId="2335EA15">
      <w:pPr>
        <w:pStyle w:val="4"/>
        <w:keepNext/>
      </w:pPr>
      <w:r>
        <w:t>8.4 市场分数输出</w:t>
      </w:r>
    </w:p>
    <w:p w14:paraId="0160C790">
      <w:pPr>
        <w:pStyle w:val="19"/>
        <w:spacing w:line="307" w:lineRule="auto"/>
        <w:ind w:firstLine="420"/>
      </w:pPr>
      <w:r>
        <w:t>将时间摘要 gamma_1 与专家摘要 gamma_2 拼接并经过融合层，再输入 Scoring MoE，输出 K 个因子分数。该分数在训练期通过下游预测损失间接学习，不应在训练标签之外额外使用测试期表现。</w:t>
      </w:r>
    </w:p>
    <w:p w14:paraId="4B598DB2">
      <w:pPr>
        <w:pStyle w:val="164"/>
        <w:jc w:val="center"/>
      </w:pPr>
      <w:r>
        <w:t>g_t=ScoringMoE(Linear([gamma_1(t);gamma_2(t)]))\in R^K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85E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2CC"/>
          </w:tcPr>
          <w:p w14:paraId="7A43E57F">
            <w:pPr>
              <w:spacing w:after="0" w:line="276" w:lineRule="auto"/>
            </w:pPr>
            <w:r>
              <w:rPr>
                <w:b/>
              </w:rPr>
              <w:t>复杂度控制：</w:t>
            </w:r>
            <w:r>
              <w:t>MACoE 的 8 个专家和 4 轮链式结构应作为论文复现配置；第一轮实验可使用更小的专家数和深度，并把规模写入实验编号。</w:t>
            </w:r>
          </w:p>
        </w:tc>
      </w:tr>
    </w:tbl>
    <w:p w14:paraId="34F4FF28">
      <w:pPr>
        <w:spacing w:after="0"/>
      </w:pPr>
    </w:p>
    <w:p w14:paraId="3BF59D07">
      <w:pPr>
        <w:pStyle w:val="3"/>
        <w:keepNext/>
      </w:pPr>
      <w:r>
        <w:t>9 PACoE：绩效引导注意力中心</w:t>
      </w:r>
    </w:p>
    <w:p w14:paraId="179F6D6A">
      <w:pPr>
        <w:pStyle w:val="4"/>
        <w:keepNext/>
      </w:pPr>
      <w:r>
        <w:t>9.1 目标</w:t>
      </w:r>
    </w:p>
    <w:p w14:paraId="1C8A4FAA">
      <w:pPr>
        <w:pStyle w:val="19"/>
        <w:spacing w:line="307" w:lineRule="auto"/>
        <w:ind w:firstLine="420"/>
      </w:pPr>
      <w:r>
        <w:t>PACoE 用来回答：不考虑市场叙事，哪些因子在最近窗口中预测得更准，并且与其他已选因子具有互补性。PACoE 的输入是因子级近期绩效特征，而不是原始行情。</w:t>
      </w:r>
    </w:p>
    <w:p w14:paraId="3A87FCF6">
      <w:pPr>
        <w:pStyle w:val="4"/>
        <w:keepNext/>
      </w:pPr>
      <w:r>
        <w:t>9.2 九维绩效特征</w:t>
      </w:r>
    </w:p>
    <w:p w14:paraId="1FD22A19">
      <w:pPr>
        <w:pStyle w:val="19"/>
        <w:spacing w:line="307" w:lineRule="auto"/>
        <w:ind w:firstLine="420"/>
      </w:pPr>
      <w:r>
        <w:t>对每个因子在滚动窗口内计算 IC、Rank IC 和截面回归斜率三类序列；对每一类序列分别计算均值、标准差和均值/标准差，得到 9 维向量。</w:t>
      </w:r>
    </w:p>
    <w:p w14:paraId="7E2917C3">
      <w:pPr>
        <w:pStyle w:val="164"/>
        <w:jc w:val="center"/>
      </w:pPr>
      <w:r>
        <w:t>phi_{k,t}=[mean(IC),std(IC),IR(IC),mean(RIC),std(RIC),IR(RIC),mean(beta),std(beta),IR(beta)]</w:t>
      </w:r>
    </w:p>
    <w:p w14:paraId="729F77FD">
      <w:pPr>
        <w:pStyle w:val="19"/>
        <w:spacing w:line="307" w:lineRule="auto"/>
        <w:ind w:firstLine="420"/>
      </w:pPr>
      <w:r>
        <w:t>这里的绩效窗口必须严格滞后于决策日：t 日生成的 phi_{k,t} 只能使用 t 日以前已经能够计算出来的 IC 和收益标签。若未来 20 日收益在 t+20 才实现，则对应 IC 不能在 t 日提前进入 PACoE。实践中需要明确“信号日”和“标签结算日”，或者采用带标签可用延迟的训练样本。</w:t>
      </w:r>
    </w:p>
    <w:p w14:paraId="39AE3E3C">
      <w:pPr>
        <w:pStyle w:val="4"/>
        <w:keepNext/>
      </w:pPr>
      <w:r>
        <w:t>9.3 因子关系注意力</w:t>
      </w:r>
    </w:p>
    <w:p w14:paraId="550AFE6C">
      <w:pPr>
        <w:pStyle w:val="19"/>
        <w:spacing w:line="307" w:lineRule="auto"/>
        <w:ind w:firstLine="420"/>
      </w:pPr>
      <w:r>
        <w:t>因子间注意力分支学习近期因子表现之间的关联。例如因子 A 和 B 一直同涨同跌、同准同错，注意力可以把邻居信息传递给每个因子，但这不代表二者必然应该同时入选。</w:t>
      </w:r>
    </w:p>
    <w:p w14:paraId="0F3B5C50">
      <w:pPr>
        <w:pStyle w:val="164"/>
        <w:jc w:val="center"/>
      </w:pPr>
      <w:r>
        <w:t>Phi_1=MultiHeadAttention(Phi,Phi,Phi)</w:t>
      </w:r>
    </w:p>
    <w:p w14:paraId="0043BA52">
      <w:pPr>
        <w:pStyle w:val="4"/>
        <w:keepNext/>
      </w:pPr>
      <w:r>
        <w:t>9.4 绩效 CoE 与分数</w:t>
      </w:r>
    </w:p>
    <w:p w14:paraId="466D745A">
      <w:pPr>
        <w:pStyle w:val="19"/>
        <w:spacing w:line="307" w:lineRule="auto"/>
        <w:ind w:firstLine="420"/>
      </w:pPr>
      <w:r>
        <w:t>绩效 CoE 使用 2 个专家、2 轮链式路由，将 9 维成绩单做非线性提炼。融合注意力分支和 CoE 分支后，Scoring MoE 输出长度为 K 的绩效分数 p_t。为了体现互补性，可以在训练损失中加入因子相关性惩罚，或在最终选择器中对已选因子实施相关性门槛。</w:t>
      </w:r>
    </w:p>
    <w:p w14:paraId="04D3D8B2">
      <w:pPr>
        <w:pStyle w:val="164"/>
        <w:jc w:val="center"/>
      </w:pPr>
      <w:r>
        <w:t>p_t=ScoringMoE(Linear([Phi_1;Phi_2]))\in R^K</w:t>
      </w:r>
    </w:p>
    <w:p w14:paraId="699D3FC2">
      <w:pPr>
        <w:pStyle w:val="3"/>
        <w:keepNext/>
      </w:pPr>
      <w:r>
        <w:t>10 层次化 MoE 动态因子组合</w:t>
      </w:r>
    </w:p>
    <w:p w14:paraId="544F1252">
      <w:pPr>
        <w:pStyle w:val="4"/>
        <w:keepNext/>
      </w:pPr>
      <w:r>
        <w:t>10.1 Group-level Router</w:t>
      </w:r>
    </w:p>
    <w:p w14:paraId="13EFC803">
      <w:pPr>
        <w:pStyle w:val="19"/>
        <w:spacing w:line="307" w:lineRule="auto"/>
        <w:ind w:firstLine="420"/>
      </w:pPr>
      <w:r>
        <w:t>Group-level Router 接收市场状态表征或 MACoE 输出，先对行为 K-Means 产生的 G 个因子群进行打分。它可以输出单一最优簇，也可以输出多个簇的 soft 权重。多簇 soft 路由通常比硬选择更平滑，但需要额外的稀疏或熵约束避免所有簇权重接近平均。</w:t>
      </w:r>
    </w:p>
    <w:p w14:paraId="22A1B213">
      <w:pPr>
        <w:pStyle w:val="164"/>
        <w:jc w:val="center"/>
      </w:pPr>
      <w:r>
        <w:t>q_{t,g}=softmax(MLP_{group}(h_t))_g,\quad g=1,...,G</w:t>
      </w:r>
    </w:p>
    <w:p w14:paraId="3D51CC4C">
      <w:pPr>
        <w:pStyle w:val="4"/>
        <w:keepNext/>
      </w:pPr>
      <w:r>
        <w:t>10.2 Group Expert</w:t>
      </w:r>
    </w:p>
    <w:p w14:paraId="0A33A164">
      <w:pPr>
        <w:pStyle w:val="19"/>
        <w:spacing w:line="307" w:lineRule="auto"/>
        <w:ind w:firstLine="420"/>
      </w:pPr>
      <w:r>
        <w:t>每个因子群设置一个 Group Expert。Group Expert 在群内处理因子值、绩效向量和因子关系，输出群内因子分数或群内权重。这样可以把“当前哪个类别有优势”和“类别内哪个具体因子更适合”分开建模。</w:t>
      </w:r>
    </w:p>
    <w:p w14:paraId="7B825ED3">
      <w:pPr>
        <w:pStyle w:val="4"/>
        <w:keepNext/>
      </w:pPr>
      <w:r>
        <w:t>10.3 Factor-level Router</w:t>
      </w:r>
    </w:p>
    <w:p w14:paraId="79B4A876">
      <w:pPr>
        <w:pStyle w:val="19"/>
        <w:spacing w:line="307" w:lineRule="auto"/>
        <w:ind w:firstLine="420"/>
      </w:pPr>
      <w:r>
        <w:t>Factor-level Router 在被选中的群内生成因子级分数。若一个因子属于唯一簇，则其最终分数可以由群权重与群内权重相乘得到；如果使用软聚类，则应按因子属于各簇的概率加权。</w:t>
      </w:r>
    </w:p>
    <w:p w14:paraId="09C9949F">
      <w:pPr>
        <w:pStyle w:val="164"/>
        <w:jc w:val="center"/>
      </w:pPr>
      <w:r>
        <w:t>score_{t,k}=sum_{g=1}^{G}q_{t,g}\cdot r_{t,k|g}</w:t>
      </w:r>
    </w:p>
    <w:p w14:paraId="07ED9023">
      <w:pPr>
        <w:pStyle w:val="4"/>
        <w:keepNext/>
      </w:pPr>
      <w:r>
        <w:t>10.4 MACoE 与 PACoE 融合</w:t>
      </w:r>
    </w:p>
    <w:p w14:paraId="054F00BE">
      <w:pPr>
        <w:pStyle w:val="19"/>
        <w:spacing w:line="307" w:lineRule="auto"/>
        <w:ind w:firstLine="420"/>
      </w:pPr>
      <w:r>
        <w:t>两路分数分别反映环境适配性和近期真实绩效。使用可学习标量 alpha 进行融合，初始值为 0.5，并通过 sigmoid 保证其在 0 到 1 之间。</w:t>
      </w:r>
    </w:p>
    <w:p w14:paraId="02F122A7">
      <w:pPr>
        <w:pStyle w:val="164"/>
        <w:jc w:val="center"/>
      </w:pPr>
      <w:r>
        <w:t>u_{t,k}=alpha_t g_{t,k}+(1-alpha_t)p_{t,k},\quad alpha_t=sigmoid(a_t)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8FF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2CC"/>
          </w:tcPr>
          <w:p w14:paraId="61C26CC8">
            <w:pPr>
              <w:spacing w:after="0" w:line="276" w:lineRule="auto"/>
            </w:pPr>
            <w:r>
              <w:rPr>
                <w:b/>
              </w:rPr>
              <w:t>方向问题：</w:t>
            </w:r>
            <w:r>
              <w:t>MACoE 和 PACoE 的分数必须先在训练期完成尺度对齐，例如 LayerNorm 或 z-score，否则某一路数值范围更大时会虚假主导融合。</w:t>
            </w:r>
          </w:p>
        </w:tc>
      </w:tr>
    </w:tbl>
    <w:p w14:paraId="0A976376">
      <w:pPr>
        <w:spacing w:after="0"/>
      </w:pPr>
    </w:p>
    <w:p w14:paraId="2475164C">
      <w:pPr>
        <w:pStyle w:val="3"/>
        <w:keepNext/>
      </w:pPr>
      <w:r>
        <w:t>11 Gumbel Top-k 动态因子选择</w:t>
      </w:r>
    </w:p>
    <w:p w14:paraId="2C4295C9">
      <w:pPr>
        <w:pStyle w:val="4"/>
        <w:keepNext/>
      </w:pPr>
      <w:r>
        <w:t>11.1 训练期探索</w:t>
      </w:r>
    </w:p>
    <w:p w14:paraId="297FAE7E">
      <w:pPr>
        <w:pStyle w:val="19"/>
        <w:spacing w:line="307" w:lineRule="auto"/>
        <w:ind w:firstLine="420"/>
      </w:pPr>
      <w:r>
        <w:t>为了让模型探索不同因子子集，可以在训练期对分数加入 Gumbel 噪声。温度 tau 从较高值逐步退火到较低值，使训练早期保留探索，后期逐渐接近离散选择。</w:t>
      </w:r>
    </w:p>
    <w:p w14:paraId="0B1E956F">
      <w:pPr>
        <w:pStyle w:val="164"/>
        <w:jc w:val="center"/>
      </w:pPr>
      <w:r>
        <w:t>g_k=-log(-log(U_k)),\quad U_k\sim Uniform(0,1)</w:t>
      </w:r>
    </w:p>
    <w:p w14:paraId="096FDA1B">
      <w:pPr>
        <w:pStyle w:val="164"/>
        <w:jc w:val="center"/>
      </w:pPr>
      <w:r>
        <w:t>\tilde{u}_{t,k}=u_{t,k}+tau\cdot g_k</w:t>
      </w:r>
    </w:p>
    <w:p w14:paraId="4E96BA8D">
      <w:pPr>
        <w:pStyle w:val="4"/>
        <w:keepNext/>
      </w:pPr>
      <w:r>
        <w:t>11.2 Top-k 与稀疏率</w:t>
      </w:r>
    </w:p>
    <w:p w14:paraId="4C41947F">
      <w:pPr>
        <w:pStyle w:val="19"/>
        <w:spacing w:line="307" w:lineRule="auto"/>
        <w:ind w:firstLine="420"/>
      </w:pPr>
      <w:r>
        <w:t>从 K 个因子中选择 k_top 个因子，其比例可设为 60%-100%，原思路的默认值约为 80%。在候选池 K=20 时，k_top 可从 12、16、20 中比较。k_top 不应只以验证期收益决定，还应同时观察换手、因子集中度和成本后收益。</w:t>
      </w:r>
    </w:p>
    <w:p w14:paraId="5F2F75F1">
      <w:pPr>
        <w:pStyle w:val="164"/>
        <w:jc w:val="center"/>
      </w:pPr>
      <w:r>
        <w:t>m_{t,k}=1[k\in TopK(\tilde{u}_t)]</w:t>
      </w:r>
    </w:p>
    <w:p w14:paraId="55E0AF7C">
      <w:pPr>
        <w:pStyle w:val="4"/>
        <w:keepNext/>
      </w:pPr>
      <w:r>
        <w:t>11.3 权重和残差</w:t>
      </w:r>
    </w:p>
    <w:p w14:paraId="718EDE80">
      <w:pPr>
        <w:pStyle w:val="19"/>
        <w:spacing w:line="307" w:lineRule="auto"/>
        <w:ind w:firstLine="420"/>
      </w:pPr>
      <w:r>
        <w:t>被选因子按照 softmax 后的分数加权，未入选因子被 mask。残差项用于保留一个稳定基线，避免路由器在训练初期完全关闭所有原始信息。</w:t>
      </w:r>
    </w:p>
    <w:p w14:paraId="62E5BC1B">
      <w:pPr>
        <w:pStyle w:val="164"/>
        <w:jc w:val="center"/>
      </w:pPr>
      <w:r>
        <w:t>z_t=sum_k m_{t,k}\cdot softmax(u_t)_k\cdot x_{t,k}+lambda_res\cdot z_t^{base}</w:t>
      </w:r>
    </w:p>
    <w:p w14:paraId="6756D738">
      <w:pPr>
        <w:pStyle w:val="19"/>
        <w:spacing w:line="307" w:lineRule="auto"/>
        <w:ind w:firstLine="420"/>
      </w:pPr>
      <w:r>
        <w:t>推理阶段不加入随机 Gumbel 噪声，使用确定性 Top-k，或者根据多次采样的入选频率生成稳定权重。所有推理规则必须固定并记录。</w:t>
      </w:r>
    </w:p>
    <w:p w14:paraId="38D73966">
      <w:pPr>
        <w:pStyle w:val="3"/>
        <w:keepNext/>
      </w:pPr>
      <w:r>
        <w:t>12 训练目标与约束函数</w:t>
      </w:r>
    </w:p>
    <w:p w14:paraId="144816D8">
      <w:pPr>
        <w:pStyle w:val="4"/>
        <w:keepNext/>
      </w:pPr>
      <w:r>
        <w:t>12.1 预测损失</w:t>
      </w:r>
    </w:p>
    <w:p w14:paraId="1769BCB5">
      <w:pPr>
        <w:pStyle w:val="19"/>
        <w:spacing w:line="307" w:lineRule="auto"/>
        <w:ind w:firstLine="420"/>
      </w:pPr>
      <w:r>
        <w:t>基本训练目标是利用组合后的 Alpha 预测未来收益。可以使用股票级 MSE，也可以使用截面排序损失或 IC 最大化目标。文档原思路以未来 20 日收益的 MSE 为主，建议保留 MSE 作为基准，再增加排序损失实验。</w:t>
      </w:r>
    </w:p>
    <w:p w14:paraId="76B62D4C">
      <w:pPr>
        <w:pStyle w:val="164"/>
        <w:jc w:val="center"/>
      </w:pPr>
      <w:r>
        <w:t>L_{pred}=\frac{1}{N}\sum_{t,i}(\hat{y}_{i,t}-y_{i,t}^{(20)})^2</w:t>
      </w:r>
    </w:p>
    <w:p w14:paraId="7A47AA69">
      <w:pPr>
        <w:pStyle w:val="4"/>
        <w:keepNext/>
      </w:pPr>
      <w:r>
        <w:t>12.2 换手惩罚</w:t>
      </w:r>
    </w:p>
    <w:p w14:paraId="0D7A799C">
      <w:pPr>
        <w:pStyle w:val="19"/>
        <w:spacing w:line="307" w:lineRule="auto"/>
        <w:ind w:firstLine="420"/>
      </w:pPr>
      <w:r>
        <w:t>如果每日因子选择变化过快，模型即使预测损失下降，也可能无法交易。可用相邻日期因子权重的 L1 距离近似因子层换手，并在股票组合层再计算实际持仓换手。</w:t>
      </w:r>
    </w:p>
    <w:p w14:paraId="3A97B29B">
      <w:pPr>
        <w:pStyle w:val="164"/>
        <w:jc w:val="center"/>
      </w:pPr>
      <w:r>
        <w:t>L_{turn}=\sum_t||w_t-w_{t-1}||_1</w:t>
      </w:r>
    </w:p>
    <w:p w14:paraId="7AB3E209">
      <w:pPr>
        <w:pStyle w:val="4"/>
        <w:keepNext/>
      </w:pPr>
      <w:r>
        <w:t>12.3 相关性和集中度约束</w:t>
      </w:r>
    </w:p>
    <w:p w14:paraId="46AF539D">
      <w:pPr>
        <w:pStyle w:val="164"/>
        <w:jc w:val="center"/>
      </w:pPr>
      <w:r>
        <w:t>L_{corr}=\sum_{k</w:t>
      </w:r>
      <w:r>
        <w:br w:type="textWrapping"/>
      </w:r>
      <w:r>
        <w:t>eq l}w_{t,k}w_{t,l}|rho_{k,l}|</w:t>
      </w:r>
    </w:p>
    <w:p w14:paraId="00773BCE">
      <w:pPr>
        <w:pStyle w:val="164"/>
        <w:jc w:val="center"/>
      </w:pPr>
      <w:r>
        <w:t>L_{entropy}=-\sum_k w_{t,k}log(w_{t,k}+epsilon)</w:t>
      </w:r>
    </w:p>
    <w:p w14:paraId="17DC9E07">
      <w:pPr>
        <w:pStyle w:val="19"/>
        <w:spacing w:line="307" w:lineRule="auto"/>
        <w:ind w:firstLine="420"/>
      </w:pPr>
      <w:r>
        <w:t>相关性惩罚抑制重复因子，熵约束用于控制过度集中。实际使用时需要平衡预测能力和组合稳定性，不能把所有因子都强行平均。</w:t>
      </w:r>
    </w:p>
    <w:p w14:paraId="79986C29">
      <w:pPr>
        <w:pStyle w:val="4"/>
        <w:keepNext/>
      </w:pPr>
      <w:r>
        <w:t>12.4 总损失</w:t>
      </w:r>
    </w:p>
    <w:p w14:paraId="6BAD9056">
      <w:pPr>
        <w:pStyle w:val="164"/>
        <w:jc w:val="center"/>
      </w:pPr>
      <w:r>
        <w:t>L=L_{pred}+lambda_{turn}L_{turn}+lambda_{corr}L_{corr}+lambda_{sparse}L_{sparse}+lambda_{expert}L_{balance}</w:t>
      </w:r>
    </w:p>
    <w:p w14:paraId="51D6387F">
      <w:pPr>
        <w:pStyle w:val="19"/>
        <w:spacing w:line="307" w:lineRule="auto"/>
        <w:ind w:firstLine="420"/>
      </w:pPr>
      <w:r>
        <w:t>其中 L_sparse 控制 Top-k 稀疏性，L_balance 防止专家长期只有一个被使用。所有 lambda 在训练期固定或由验证集选择，测试集不参与调参。</w:t>
      </w:r>
    </w:p>
    <w:p w14:paraId="05C125D7">
      <w:pPr>
        <w:pStyle w:val="3"/>
        <w:keepNext/>
      </w:pPr>
      <w:r>
        <w:t>13 Alpha 组合与股票组合转换</w:t>
      </w:r>
    </w:p>
    <w:p w14:paraId="405F1AA5">
      <w:pPr>
        <w:pStyle w:val="4"/>
        <w:keepNext/>
      </w:pPr>
      <w:r>
        <w:t>13.1 因子到 Alpha</w:t>
      </w:r>
    </w:p>
    <w:p w14:paraId="14D3034F">
      <w:pPr>
        <w:pStyle w:val="19"/>
        <w:spacing w:line="307" w:lineRule="auto"/>
        <w:ind w:firstLine="420"/>
      </w:pPr>
      <w:r>
        <w:t>动态因子组合先得到每个股票的综合 Alpha 值。为了避免不同因子量纲影响，应先对各因子做截面标准化，再按动态因子权重合成。</w:t>
      </w:r>
    </w:p>
    <w:p w14:paraId="44ADD492">
      <w:pPr>
        <w:pStyle w:val="164"/>
        <w:jc w:val="center"/>
      </w:pPr>
      <w:r>
        <w:t>alpha_{i,t}=\sum_{k=1}^{K}w_{t,k}\tilde{x}_{i,t,k}</w:t>
      </w:r>
    </w:p>
    <w:p w14:paraId="7E1F982A">
      <w:pPr>
        <w:pStyle w:val="4"/>
        <w:keepNext/>
      </w:pPr>
      <w:r>
        <w:t>13.2 Alpha 到股票权重</w:t>
      </w:r>
    </w:p>
    <w:p w14:paraId="3B04E66D">
      <w:pPr>
        <w:pStyle w:val="19"/>
        <w:spacing w:line="307" w:lineRule="auto"/>
        <w:ind w:firstLine="420"/>
      </w:pPr>
      <w:r>
        <w:t>基础方案按 Alpha 排名构造多空或多头组合。多头方案可买入前 q 分位股票并等权；多空方案可多头前 q 分位、空头后 q 分位。若当前研究仅支持股票多头，则需要明确基准、现金处理和未交易股票处理。</w:t>
      </w:r>
    </w:p>
    <w:p w14:paraId="620819D8">
      <w:pPr>
        <w:pStyle w:val="164"/>
        <w:jc w:val="center"/>
      </w:pPr>
      <w:r>
        <w:t>w_{i,t}^{long}=\frac{1}{|L_t|}1[i\in TopQuantile(alpha_t)]</w:t>
      </w:r>
    </w:p>
    <w:p w14:paraId="33F3F938">
      <w:pPr>
        <w:pStyle w:val="4"/>
        <w:keepNext/>
      </w:pPr>
      <w:r>
        <w:t>13.3 股票级约束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1C1B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A4364E6">
            <w:pPr>
              <w:spacing w:after="40" w:line="240" w:lineRule="auto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5A3C59D7">
            <w:pPr>
              <w:spacing w:after="40" w:line="240" w:lineRule="auto"/>
            </w:pPr>
            <w:r>
              <w:rPr>
                <w:b/>
                <w:color w:val="FFFFFF"/>
              </w:rPr>
              <w:t>建议规则</w:t>
            </w:r>
          </w:p>
        </w:tc>
      </w:tr>
      <w:tr w14:paraId="35C10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AF2F8"/>
            <w:vAlign w:val="center"/>
          </w:tcPr>
          <w:p w14:paraId="24857770">
            <w:pPr>
              <w:spacing w:after="40" w:line="240" w:lineRule="auto"/>
            </w:pPr>
            <w:r>
              <w:rPr>
                <w:b w:val="0"/>
              </w:rPr>
              <w:t>单股权重</w:t>
            </w:r>
          </w:p>
        </w:tc>
        <w:tc>
          <w:tcPr>
            <w:tcW w:w="5669" w:type="dxa"/>
            <w:shd w:val="clear" w:color="auto" w:fill="EAF2F8"/>
            <w:vAlign w:val="center"/>
          </w:tcPr>
          <w:p w14:paraId="7D76A7EF">
            <w:pPr>
              <w:spacing w:after="40" w:line="240" w:lineRule="auto"/>
            </w:pPr>
            <w:r>
              <w:rPr>
                <w:b w:val="0"/>
              </w:rPr>
              <w:t>不超过预设上限，例如 2% 或按目标持仓数倒数。</w:t>
            </w:r>
          </w:p>
        </w:tc>
      </w:tr>
      <w:tr w14:paraId="2916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69EA391">
            <w:pPr>
              <w:spacing w:after="40" w:line="240" w:lineRule="auto"/>
            </w:pPr>
            <w:r>
              <w:rPr>
                <w:b w:val="0"/>
              </w:rPr>
              <w:t>行业/板块暴露</w:t>
            </w:r>
          </w:p>
        </w:tc>
        <w:tc>
          <w:tcPr>
            <w:tcW w:w="5669" w:type="dxa"/>
            <w:vAlign w:val="center"/>
          </w:tcPr>
          <w:p w14:paraId="084E6A90">
            <w:pPr>
              <w:spacing w:after="40" w:line="240" w:lineRule="auto"/>
            </w:pPr>
            <w:r>
              <w:rPr>
                <w:b w:val="0"/>
              </w:rPr>
              <w:t>如果数据可用，控制相对基准的行业偏离。</w:t>
            </w:r>
          </w:p>
        </w:tc>
      </w:tr>
      <w:tr w14:paraId="0DB2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AF2F8"/>
            <w:vAlign w:val="center"/>
          </w:tcPr>
          <w:p w14:paraId="21D3CF5C">
            <w:pPr>
              <w:spacing w:after="40" w:line="240" w:lineRule="auto"/>
            </w:pPr>
            <w:r>
              <w:rPr>
                <w:b w:val="0"/>
              </w:rPr>
              <w:t>停牌</w:t>
            </w:r>
          </w:p>
        </w:tc>
        <w:tc>
          <w:tcPr>
            <w:tcW w:w="5669" w:type="dxa"/>
            <w:shd w:val="clear" w:color="auto" w:fill="EAF2F8"/>
            <w:vAlign w:val="center"/>
          </w:tcPr>
          <w:p w14:paraId="2BE7148E">
            <w:pPr>
              <w:spacing w:after="40" w:line="240" w:lineRule="auto"/>
            </w:pPr>
            <w:r>
              <w:rPr>
                <w:b w:val="0"/>
              </w:rPr>
              <w:t>停牌股票不新增仓位，已有仓位按实际可交易状态处理。</w:t>
            </w:r>
          </w:p>
        </w:tc>
      </w:tr>
      <w:tr w14:paraId="19ED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DB3FBA">
            <w:pPr>
              <w:spacing w:after="40" w:line="240" w:lineRule="auto"/>
            </w:pPr>
            <w:r>
              <w:rPr>
                <w:b w:val="0"/>
              </w:rPr>
              <w:t>涨跌停</w:t>
            </w:r>
          </w:p>
        </w:tc>
        <w:tc>
          <w:tcPr>
            <w:tcW w:w="5669" w:type="dxa"/>
            <w:vAlign w:val="center"/>
          </w:tcPr>
          <w:p w14:paraId="4E0AF597">
            <w:pPr>
              <w:spacing w:after="40" w:line="240" w:lineRule="auto"/>
            </w:pPr>
            <w:r>
              <w:rPr>
                <w:b w:val="0"/>
              </w:rPr>
              <w:t>无法成交时保留原持仓并记录未成交原因。</w:t>
            </w:r>
          </w:p>
        </w:tc>
      </w:tr>
      <w:tr w14:paraId="5CEF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AF2F8"/>
            <w:vAlign w:val="center"/>
          </w:tcPr>
          <w:p w14:paraId="486D0A9A">
            <w:pPr>
              <w:spacing w:after="40" w:line="240" w:lineRule="auto"/>
            </w:pPr>
            <w:r>
              <w:rPr>
                <w:b w:val="0"/>
              </w:rPr>
              <w:t>调仓频率</w:t>
            </w:r>
          </w:p>
        </w:tc>
        <w:tc>
          <w:tcPr>
            <w:tcW w:w="5669" w:type="dxa"/>
            <w:shd w:val="clear" w:color="auto" w:fill="EAF2F8"/>
            <w:vAlign w:val="center"/>
          </w:tcPr>
          <w:p w14:paraId="473BA475">
            <w:pPr>
              <w:spacing w:after="40" w:line="240" w:lineRule="auto"/>
            </w:pPr>
            <w:r>
              <w:rPr>
                <w:b w:val="0"/>
              </w:rPr>
              <w:t>按日、周或固定再平衡周期，必须提前设定。</w:t>
            </w:r>
          </w:p>
        </w:tc>
      </w:tr>
      <w:tr w14:paraId="0412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1C49F24">
            <w:pPr>
              <w:spacing w:after="40" w:line="240" w:lineRule="auto"/>
            </w:pPr>
            <w:r>
              <w:rPr>
                <w:b w:val="0"/>
              </w:rPr>
              <w:t>现金</w:t>
            </w:r>
          </w:p>
        </w:tc>
        <w:tc>
          <w:tcPr>
            <w:tcW w:w="5669" w:type="dxa"/>
            <w:vAlign w:val="center"/>
          </w:tcPr>
          <w:p w14:paraId="5301B4C2">
            <w:pPr>
              <w:spacing w:after="40" w:line="240" w:lineRule="auto"/>
            </w:pPr>
            <w:r>
              <w:rPr>
                <w:b w:val="0"/>
              </w:rPr>
              <w:t>明确现金收益和不可投资资金的处理方式。</w:t>
            </w:r>
          </w:p>
        </w:tc>
      </w:tr>
    </w:tbl>
    <w:p w14:paraId="3A4379F2">
      <w:pPr>
        <w:spacing w:after="0"/>
      </w:pPr>
    </w:p>
    <w:p w14:paraId="6BCAC138">
      <w:pPr>
        <w:pStyle w:val="3"/>
        <w:keepNext/>
      </w:pPr>
      <w:r>
        <w:t>14 带交易成本约束的样本外回测</w:t>
      </w:r>
    </w:p>
    <w:p w14:paraId="06B8654B">
      <w:pPr>
        <w:pStyle w:val="4"/>
        <w:keepNext/>
      </w:pPr>
      <w:r>
        <w:t>14.1 执行时点</w:t>
      </w:r>
    </w:p>
    <w:p w14:paraId="46675218">
      <w:pPr>
        <w:pStyle w:val="19"/>
        <w:spacing w:line="307" w:lineRule="auto"/>
        <w:ind w:firstLine="420"/>
      </w:pPr>
      <w:r>
        <w:t>回测必须明确决策时点和成交时点。推荐使用 t 日收盘后计算信号，t+1 日开盘或下一可交易时点成交。不能使用 t 日收盘价计算信号后又在 t 日收盘成交，除非明确模拟了可实现的盘中流程。</w:t>
      </w:r>
    </w:p>
    <w:p w14:paraId="520680F9">
      <w:pPr>
        <w:pStyle w:val="4"/>
        <w:keepNext/>
      </w:pPr>
      <w:r>
        <w:t>14.2 交易成本模型</w:t>
      </w:r>
    </w:p>
    <w:p w14:paraId="479B71D9">
      <w:pPr>
        <w:pStyle w:val="164"/>
        <w:jc w:val="center"/>
      </w:pPr>
      <w:r>
        <w:t>Cost_t=\sum_i|Delta position_{i,t}|\cdot(c_{fee}+c_{slippage}+c_{impact,i,t})</w:t>
      </w:r>
    </w:p>
    <w:p w14:paraId="062B92B9">
      <w:pPr>
        <w:pStyle w:val="19"/>
        <w:spacing w:line="307" w:lineRule="auto"/>
        <w:ind w:firstLine="420"/>
      </w:pPr>
      <w:r>
        <w:t>最小模型包括手续费和固定滑点；更严格的模型可以让冲击成本随成交额占比、股票流动性和换手率变化。成本参数必须通过配置保存，并在敏感性分析中比较低、中、高三档。</w:t>
      </w:r>
    </w:p>
    <w:p w14:paraId="105F30E8">
      <w:pPr>
        <w:pStyle w:val="4"/>
        <w:keepNext/>
      </w:pPr>
      <w:r>
        <w:t>14.3 净收益</w:t>
      </w:r>
    </w:p>
    <w:p w14:paraId="3B01E75B">
      <w:pPr>
        <w:pStyle w:val="164"/>
        <w:jc w:val="center"/>
      </w:pPr>
      <w:r>
        <w:t>R_t^{net}=R_t^{gross}-Cost_t</w:t>
      </w:r>
    </w:p>
    <w:p w14:paraId="25D4EAC6">
      <w:pPr>
        <w:pStyle w:val="19"/>
        <w:spacing w:line="307" w:lineRule="auto"/>
        <w:ind w:firstLine="420"/>
      </w:pPr>
      <w:r>
        <w:t>回测同时保存 gross 和 net 两条净值曲线，报告总收益、年化收益、Sharpe、最大回撤、Calmar、日胜率、换手率、总成本、年化成本、交易次数和平均持仓数量。不能只报告收益而隐藏成本。</w:t>
      </w:r>
    </w:p>
    <w:p w14:paraId="12487E46">
      <w:pPr>
        <w:pStyle w:val="4"/>
        <w:keepNext/>
      </w:pPr>
      <w:r>
        <w:t>14.4 回测伪代码</w:t>
      </w:r>
    </w:p>
    <w:p w14:paraId="71D07623">
      <w:pPr>
        <w:pStyle w:val="164"/>
        <w:jc w:val="center"/>
      </w:pPr>
      <w:r>
        <w:t>for t in decision_dates:</w:t>
      </w:r>
      <w:r>
        <w:br w:type="textWrapping"/>
      </w:r>
      <w:r>
        <w:t xml:space="preserve">    state = state_model.predict(market_window(t))</w:t>
      </w:r>
      <w:r>
        <w:br w:type="textWrapping"/>
      </w:r>
      <w:r>
        <w:t xml:space="preserve">    factor_score = router.predict(state, factor_history(t))</w:t>
      </w:r>
      <w:r>
        <w:br w:type="textWrapping"/>
      </w:r>
      <w:r>
        <w:t xml:space="preserve">    selected = deterministic_top_k(factor_score)</w:t>
      </w:r>
      <w:r>
        <w:br w:type="textWrapping"/>
      </w:r>
      <w:r>
        <w:t xml:space="preserve">    alpha = combine_factor_values(factor_values[t], selected)</w:t>
      </w:r>
      <w:r>
        <w:br w:type="textWrapping"/>
      </w:r>
      <w:r>
        <w:t xml:space="preserve">    target = build_stock_weights(alpha, constraints)</w:t>
      </w:r>
      <w:r>
        <w:br w:type="textWrapping"/>
      </w:r>
      <w:r>
        <w:t xml:space="preserve">    executable = apply_suspend_limit_rules(target, holdings[t])</w:t>
      </w:r>
      <w:r>
        <w:br w:type="textWrapping"/>
      </w:r>
      <w:r>
        <w:t xml:space="preserve">    cost = turnover_cost(executable, holdings[t], cost_config)</w:t>
      </w:r>
      <w:r>
        <w:br w:type="textWrapping"/>
      </w:r>
      <w:r>
        <w:t xml:space="preserve">    holdings[t+1] = executable</w:t>
      </w:r>
      <w:r>
        <w:br w:type="textWrapping"/>
      </w:r>
      <w:r>
        <w:t xml:space="preserve">    nav[t+1] = nav[t] * (1 + portfolio_return(executable) - cost)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5CE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2CC"/>
          </w:tcPr>
          <w:p w14:paraId="09F0129E">
            <w:pPr>
              <w:spacing w:after="0" w:line="276" w:lineRule="auto"/>
            </w:pPr>
            <w:r>
              <w:rPr>
                <w:b/>
              </w:rPr>
              <w:t>关键检查：</w:t>
            </w:r>
            <w:r>
              <w:t>回测输出中的每一笔交易都应能追溯到信号日期、状态、入选因子、目标权重、实际成交权重、未成交原因和成本。</w:t>
            </w:r>
          </w:p>
        </w:tc>
      </w:tr>
    </w:tbl>
    <w:p w14:paraId="67C01036">
      <w:pPr>
        <w:spacing w:after="0"/>
      </w:pPr>
    </w:p>
    <w:p w14:paraId="3FA06B5E">
      <w:pPr>
        <w:pStyle w:val="3"/>
        <w:keepNext/>
      </w:pPr>
      <w:r>
        <w:t>15 时间切分与防止未来数据泄漏</w:t>
      </w:r>
    </w:p>
    <w:p w14:paraId="1089AED4">
      <w:pPr>
        <w:pStyle w:val="4"/>
        <w:keepNext/>
      </w:pPr>
      <w:r>
        <w:t>15.1 三段时间切分</w:t>
      </w:r>
    </w:p>
    <w:p w14:paraId="77FAC172">
      <w:pPr>
        <w:pStyle w:val="19"/>
        <w:spacing w:line="307" w:lineRule="auto"/>
        <w:ind w:firstLine="420"/>
      </w:pPr>
      <w:r>
        <w:t>研究采用严格的时间顺序切分。默认可使用 60% 训练、20% 验证、20% 测试，但最终报告应同时记录每段的起止日期和可用样本量。随机切分会把未来市场环境的信息混入训练集，不适合本研究。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1DD9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018D971">
            <w:pPr>
              <w:spacing w:after="40" w:line="240" w:lineRule="auto"/>
            </w:pPr>
            <w:r>
              <w:rPr>
                <w:b/>
                <w:color w:val="FFFFFF"/>
              </w:rPr>
              <w:t>数据段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F1A6ACF">
            <w:pPr>
              <w:spacing w:after="40" w:line="240" w:lineRule="auto"/>
            </w:pPr>
            <w:r>
              <w:rPr>
                <w:b/>
                <w:color w:val="FFFFFF"/>
              </w:rPr>
              <w:t>允许用途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63C3C0F">
            <w:pPr>
              <w:spacing w:after="40" w:line="240" w:lineRule="auto"/>
            </w:pPr>
            <w:r>
              <w:rPr>
                <w:b/>
                <w:color w:val="FFFFFF"/>
              </w:rPr>
              <w:t>禁止用途</w:t>
            </w:r>
          </w:p>
        </w:tc>
      </w:tr>
      <w:tr w14:paraId="7C73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11BEFE11">
            <w:pPr>
              <w:spacing w:after="40" w:line="240" w:lineRule="auto"/>
            </w:pPr>
            <w:r>
              <w:rPr>
                <w:b w:val="0"/>
              </w:rPr>
              <w:t>Train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7C50105C">
            <w:pPr>
              <w:spacing w:after="40" w:line="240" w:lineRule="auto"/>
            </w:pPr>
            <w:r>
              <w:rPr>
                <w:b w:val="0"/>
              </w:rPr>
              <w:t>拟合标准化、K-Means、状态模型、MoE 参数和初始超参数。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7959F524">
            <w:pPr>
              <w:spacing w:after="40" w:line="240" w:lineRule="auto"/>
            </w:pPr>
            <w:r>
              <w:rPr>
                <w:b w:val="0"/>
              </w:rPr>
              <w:t>不能反复查看测试期结果。</w:t>
            </w:r>
          </w:p>
        </w:tc>
      </w:tr>
      <w:tr w14:paraId="05B8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46F458">
            <w:pPr>
              <w:spacing w:after="40" w:line="240" w:lineRule="auto"/>
            </w:pPr>
            <w:r>
              <w:rPr>
                <w:b w:val="0"/>
              </w:rPr>
              <w:t>Validation</w:t>
            </w:r>
          </w:p>
        </w:tc>
        <w:tc>
          <w:tcPr>
            <w:tcW w:w="3969" w:type="dxa"/>
            <w:vAlign w:val="center"/>
          </w:tcPr>
          <w:p w14:paraId="5BF377E3">
            <w:pPr>
              <w:spacing w:after="40" w:line="240" w:lineRule="auto"/>
            </w:pPr>
            <w:r>
              <w:rPr>
                <w:b w:val="0"/>
              </w:rPr>
              <w:t>选择 K、窗口、专家规模、Top-k、损失权重和成本敏感性方案。</w:t>
            </w:r>
          </w:p>
        </w:tc>
        <w:tc>
          <w:tcPr>
            <w:tcW w:w="2835" w:type="dxa"/>
            <w:vAlign w:val="center"/>
          </w:tcPr>
          <w:p w14:paraId="4406C17C">
            <w:pPr>
              <w:spacing w:after="40" w:line="240" w:lineRule="auto"/>
            </w:pPr>
            <w:r>
              <w:rPr>
                <w:b w:val="0"/>
              </w:rPr>
              <w:t>不能把验证结果宣称为最终样本外表现。</w:t>
            </w:r>
          </w:p>
        </w:tc>
      </w:tr>
      <w:tr w14:paraId="0CE8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2756BBD1">
            <w:pPr>
              <w:spacing w:after="40" w:line="240" w:lineRule="auto"/>
            </w:pPr>
            <w:r>
              <w:rPr>
                <w:b w:val="0"/>
              </w:rPr>
              <w:t>Test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748BC03">
            <w:pPr>
              <w:spacing w:after="40" w:line="240" w:lineRule="auto"/>
            </w:pPr>
            <w:r>
              <w:rPr>
                <w:b w:val="0"/>
              </w:rPr>
              <w:t>冻结全部配置后运行一次最终评估。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1D536AC2">
            <w:pPr>
              <w:spacing w:after="40" w:line="240" w:lineRule="auto"/>
            </w:pPr>
            <w:r>
              <w:rPr>
                <w:b w:val="0"/>
              </w:rPr>
              <w:t>不能根据测试表现重新选因子、调阈值或修改模型。</w:t>
            </w:r>
          </w:p>
        </w:tc>
      </w:tr>
    </w:tbl>
    <w:p w14:paraId="58FA25E6">
      <w:pPr>
        <w:spacing w:after="0"/>
      </w:pPr>
    </w:p>
    <w:p w14:paraId="184C7BFF">
      <w:pPr>
        <w:pStyle w:val="4"/>
        <w:keepNext/>
      </w:pPr>
      <w:r>
        <w:t>15.2 标签延迟</w:t>
      </w:r>
    </w:p>
    <w:p w14:paraId="62F92D87">
      <w:pPr>
        <w:pStyle w:val="19"/>
        <w:spacing w:line="307" w:lineRule="auto"/>
        <w:ind w:firstLine="420"/>
      </w:pPr>
      <w:r>
        <w:t>未来收益标签存在结算延迟。例如 20 日收益 y_t^{(20)} 只有在 t+20 后才完整可见。因此 PACoE 的近期绩效特征不能把尚未结算的标签当作当前信息。可采用标签成熟日期、purged split 或时间间隔（embargo）处理重叠标签。</w:t>
      </w:r>
    </w:p>
    <w:p w14:paraId="17B536D7">
      <w:pPr>
        <w:pStyle w:val="4"/>
        <w:keepNext/>
      </w:pPr>
      <w:r>
        <w:t>15.3 运行一致性</w:t>
      </w:r>
    </w:p>
    <w:p w14:paraId="15614009">
      <w:pPr>
        <w:pStyle w:val="19"/>
        <w:spacing w:line="307" w:lineRule="auto"/>
        <w:ind w:firstLine="420"/>
      </w:pPr>
      <w:r>
        <w:t>每个运行必须绑定 snapshot_id。因子值运行、状态运行、条件评价运行和组合回测运行的 snapshot_id 不一致时应直接失败。所有输出同时保存配置、输入文件哈希、随机种子、模型版本和代码版本。</w:t>
      </w:r>
    </w:p>
    <w:p w14:paraId="0A284723">
      <w:pPr>
        <w:pStyle w:val="3"/>
        <w:keepNext/>
      </w:pPr>
      <w:r>
        <w:t>16 实验方案与对照基线</w:t>
      </w:r>
    </w:p>
    <w:p w14:paraId="422E7937">
      <w:pPr>
        <w:pStyle w:val="4"/>
        <w:keepNext/>
      </w:pPr>
      <w:r>
        <w:t>16.1 分级实验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402"/>
      </w:tblGrid>
      <w:tr w14:paraId="51B0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4D10A59">
            <w:pPr>
              <w:spacing w:after="40" w:line="240" w:lineRule="auto"/>
            </w:pPr>
            <w:r>
              <w:rPr>
                <w:b/>
                <w:color w:val="FFFFFF"/>
              </w:rPr>
              <w:t>实验级别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984C410">
            <w:pPr>
              <w:spacing w:after="40" w:line="240" w:lineRule="auto"/>
            </w:pPr>
            <w:r>
              <w:rPr>
                <w:b/>
                <w:color w:val="FFFFFF"/>
              </w:rPr>
              <w:t>模型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DB48F11">
            <w:pPr>
              <w:spacing w:after="40" w:line="240" w:lineRule="auto"/>
            </w:pPr>
            <w:r>
              <w:rPr>
                <w:b/>
                <w:color w:val="FFFFFF"/>
              </w:rPr>
              <w:t>目的</w:t>
            </w:r>
          </w:p>
        </w:tc>
      </w:tr>
      <w:tr w14:paraId="1DB8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4FC8212D">
            <w:pPr>
              <w:spacing w:after="40" w:line="240" w:lineRule="auto"/>
            </w:pPr>
            <w:r>
              <w:rPr>
                <w:b w:val="0"/>
              </w:rPr>
              <w:t>E0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0A088DE0">
            <w:pPr>
              <w:spacing w:after="40" w:line="240" w:lineRule="auto"/>
            </w:pPr>
            <w:r>
              <w:rPr>
                <w:b w:val="0"/>
              </w:rPr>
              <w:t>单因子和全样本等权基线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35C9A7D8">
            <w:pPr>
              <w:spacing w:after="40" w:line="240" w:lineRule="auto"/>
            </w:pPr>
            <w:r>
              <w:rPr>
                <w:b w:val="0"/>
              </w:rPr>
              <w:t>确认数据、标签、回测和成本模型正确。</w:t>
            </w:r>
          </w:p>
        </w:tc>
      </w:tr>
      <w:tr w14:paraId="0CC3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C6EF545">
            <w:pPr>
              <w:spacing w:after="40" w:line="240" w:lineRule="auto"/>
            </w:pPr>
            <w:r>
              <w:rPr>
                <w:b w:val="0"/>
              </w:rPr>
              <w:t>E1</w:t>
            </w:r>
          </w:p>
        </w:tc>
        <w:tc>
          <w:tcPr>
            <w:tcW w:w="3969" w:type="dxa"/>
            <w:vAlign w:val="center"/>
          </w:tcPr>
          <w:p w14:paraId="1FF6C961">
            <w:pPr>
              <w:spacing w:after="40" w:line="240" w:lineRule="auto"/>
            </w:pPr>
            <w:r>
              <w:rPr>
                <w:b w:val="0"/>
              </w:rPr>
              <w:t>行为 K-Means + 每簇代表因子 + 等权</w:t>
            </w:r>
          </w:p>
        </w:tc>
        <w:tc>
          <w:tcPr>
            <w:tcW w:w="3402" w:type="dxa"/>
            <w:vAlign w:val="center"/>
          </w:tcPr>
          <w:p w14:paraId="79B79146">
            <w:pPr>
              <w:spacing w:after="40" w:line="240" w:lineRule="auto"/>
            </w:pPr>
            <w:r>
              <w:rPr>
                <w:b w:val="0"/>
              </w:rPr>
              <w:t>验证行为聚类和候选池压缩是否有价值。</w:t>
            </w:r>
          </w:p>
        </w:tc>
      </w:tr>
      <w:tr w14:paraId="4862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7AAD75D4">
            <w:pPr>
              <w:spacing w:after="40" w:line="240" w:lineRule="auto"/>
            </w:pPr>
            <w:r>
              <w:rPr>
                <w:b w:val="0"/>
              </w:rPr>
              <w:t>E2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0E2733C3">
            <w:pPr>
              <w:spacing w:after="40" w:line="240" w:lineRule="auto"/>
            </w:pPr>
            <w:r>
              <w:rPr>
                <w:b w:val="0"/>
              </w:rPr>
              <w:t>状态条件选择 + 固定规则路由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396324A3">
            <w:pPr>
              <w:spacing w:after="40" w:line="240" w:lineRule="auto"/>
            </w:pPr>
            <w:r>
              <w:rPr>
                <w:b w:val="0"/>
              </w:rPr>
              <w:t>验证市场状态和类别条件表现。</w:t>
            </w:r>
          </w:p>
        </w:tc>
      </w:tr>
      <w:tr w14:paraId="779B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04D23BF">
            <w:pPr>
              <w:spacing w:after="40" w:line="240" w:lineRule="auto"/>
            </w:pPr>
            <w:r>
              <w:rPr>
                <w:b w:val="0"/>
              </w:rPr>
              <w:t>E3</w:t>
            </w:r>
          </w:p>
        </w:tc>
        <w:tc>
          <w:tcPr>
            <w:tcW w:w="3969" w:type="dxa"/>
            <w:vAlign w:val="center"/>
          </w:tcPr>
          <w:p w14:paraId="00997DA0">
            <w:pPr>
              <w:spacing w:after="40" w:line="240" w:lineRule="auto"/>
            </w:pPr>
            <w:r>
              <w:rPr>
                <w:b w:val="0"/>
              </w:rPr>
              <w:t>简化 MACoE + 因子预测</w:t>
            </w:r>
          </w:p>
        </w:tc>
        <w:tc>
          <w:tcPr>
            <w:tcW w:w="3402" w:type="dxa"/>
            <w:vAlign w:val="center"/>
          </w:tcPr>
          <w:p w14:paraId="2A660AE4">
            <w:pPr>
              <w:spacing w:after="40" w:line="240" w:lineRule="auto"/>
            </w:pPr>
            <w:r>
              <w:rPr>
                <w:b w:val="0"/>
              </w:rPr>
              <w:t>检验市场环境输入的边际贡献。</w:t>
            </w:r>
          </w:p>
        </w:tc>
      </w:tr>
      <w:tr w14:paraId="57B9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70ADF706">
            <w:pPr>
              <w:spacing w:after="40" w:line="240" w:lineRule="auto"/>
            </w:pPr>
            <w:r>
              <w:rPr>
                <w:b w:val="0"/>
              </w:rPr>
              <w:t>E4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7D10ED63">
            <w:pPr>
              <w:spacing w:after="40" w:line="240" w:lineRule="auto"/>
            </w:pPr>
            <w:r>
              <w:rPr>
                <w:b w:val="0"/>
              </w:rPr>
              <w:t>简化 PACoE + 因子预测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6532BADF">
            <w:pPr>
              <w:spacing w:after="40" w:line="240" w:lineRule="auto"/>
            </w:pPr>
            <w:r>
              <w:rPr>
                <w:b w:val="0"/>
              </w:rPr>
              <w:t>检验近期绩效和互补信息的边际贡献。</w:t>
            </w:r>
          </w:p>
        </w:tc>
      </w:tr>
      <w:tr w14:paraId="7F0D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435CBC">
            <w:pPr>
              <w:spacing w:after="40" w:line="240" w:lineRule="auto"/>
            </w:pPr>
            <w:r>
              <w:rPr>
                <w:b w:val="0"/>
              </w:rPr>
              <w:t>E5</w:t>
            </w:r>
          </w:p>
        </w:tc>
        <w:tc>
          <w:tcPr>
            <w:tcW w:w="3969" w:type="dxa"/>
            <w:vAlign w:val="center"/>
          </w:tcPr>
          <w:p w14:paraId="66C84E01">
            <w:pPr>
              <w:spacing w:after="40" w:line="240" w:lineRule="auto"/>
            </w:pPr>
            <w:r>
              <w:rPr>
                <w:b w:val="0"/>
              </w:rPr>
              <w:t>MACoE + PACoE + 层次化 MoE</w:t>
            </w:r>
          </w:p>
        </w:tc>
        <w:tc>
          <w:tcPr>
            <w:tcW w:w="3402" w:type="dxa"/>
            <w:vAlign w:val="center"/>
          </w:tcPr>
          <w:p w14:paraId="6F75A067">
            <w:pPr>
              <w:spacing w:after="40" w:line="240" w:lineRule="auto"/>
            </w:pPr>
            <w:r>
              <w:rPr>
                <w:b w:val="0"/>
              </w:rPr>
              <w:t>验证完整模型的样本外表现。</w:t>
            </w:r>
          </w:p>
        </w:tc>
      </w:tr>
      <w:tr w14:paraId="488F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78D9ADD2">
            <w:pPr>
              <w:spacing w:after="40" w:line="240" w:lineRule="auto"/>
            </w:pPr>
            <w:r>
              <w:rPr>
                <w:b w:val="0"/>
              </w:rPr>
              <w:t>E6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34B6ACB">
            <w:pPr>
              <w:spacing w:after="40" w:line="240" w:lineRule="auto"/>
            </w:pPr>
            <w:r>
              <w:rPr>
                <w:b w:val="0"/>
              </w:rPr>
              <w:t>完整模型 + Gumbel Top-k + 成本约束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25132533">
            <w:pPr>
              <w:spacing w:after="40" w:line="240" w:lineRule="auto"/>
            </w:pPr>
            <w:r>
              <w:rPr>
                <w:b w:val="0"/>
              </w:rPr>
              <w:t>检验动态稀疏选择和交易成本下的有效性。</w:t>
            </w:r>
          </w:p>
        </w:tc>
      </w:tr>
    </w:tbl>
    <w:p w14:paraId="622C0907">
      <w:pPr>
        <w:spacing w:after="0"/>
      </w:pPr>
    </w:p>
    <w:p w14:paraId="06FF3BE6">
      <w:pPr>
        <w:pStyle w:val="4"/>
        <w:keepNext/>
      </w:pPr>
      <w:r>
        <w:t>16.2 必要基线</w:t>
      </w:r>
    </w:p>
    <w:p w14:paraId="61ADFD5E">
      <w:pPr>
        <w:pStyle w:val="16"/>
        <w:spacing w:line="276" w:lineRule="auto"/>
      </w:pPr>
      <w:r>
        <w:t>所有候选因子等权组合。</w:t>
      </w:r>
    </w:p>
    <w:p w14:paraId="24E6EB7E">
      <w:pPr>
        <w:pStyle w:val="16"/>
        <w:spacing w:line="276" w:lineRule="auto"/>
      </w:pPr>
      <w:r>
        <w:t>训练期 Rank IC 排名前 N 的静态因子组合。</w:t>
      </w:r>
    </w:p>
    <w:p w14:paraId="2BCEDB13">
      <w:pPr>
        <w:pStyle w:val="16"/>
        <w:spacing w:line="276" w:lineRule="auto"/>
      </w:pPr>
      <w:r>
        <w:t>单一最佳行为簇组合。</w:t>
      </w:r>
    </w:p>
    <w:p w14:paraId="04DAEE85">
      <w:pPr>
        <w:pStyle w:val="16"/>
        <w:spacing w:line="276" w:lineRule="auto"/>
      </w:pPr>
      <w:r>
        <w:t>随机选择相同数量因子的组合，多次重复报告均值和置信区间。</w:t>
      </w:r>
    </w:p>
    <w:p w14:paraId="43F17ECF">
      <w:pPr>
        <w:pStyle w:val="16"/>
        <w:spacing w:line="276" w:lineRule="auto"/>
      </w:pPr>
      <w:r>
        <w:t>只有市场状态、没有 PACoE 的路由。</w:t>
      </w:r>
    </w:p>
    <w:p w14:paraId="512D0E73">
      <w:pPr>
        <w:pStyle w:val="16"/>
        <w:spacing w:line="276" w:lineRule="auto"/>
      </w:pPr>
      <w:r>
        <w:t>只有近期绩效、没有 MACoE 的路由。</w:t>
      </w:r>
    </w:p>
    <w:p w14:paraId="54033138">
      <w:pPr>
        <w:pStyle w:val="16"/>
        <w:spacing w:line="276" w:lineRule="auto"/>
      </w:pPr>
      <w:r>
        <w:t>无换手惩罚和有换手惩罚的对照。</w:t>
      </w:r>
    </w:p>
    <w:p w14:paraId="4DFDBEF0">
      <w:pPr>
        <w:pStyle w:val="4"/>
        <w:keepNext/>
      </w:pPr>
      <w:r>
        <w:t>16.3 统计检验</w:t>
      </w:r>
    </w:p>
    <w:p w14:paraId="46AD92D3">
      <w:pPr>
        <w:pStyle w:val="19"/>
        <w:spacing w:line="307" w:lineRule="auto"/>
        <w:ind w:firstLine="420"/>
      </w:pPr>
      <w:r>
        <w:t>对日收益和状态条件 IC 进行 block bootstrap 或按时间区间重采样，报告置信区间。比较两个策略时，可使用配对差收益、均值差、Sharpe 差和回撤差。若进行多模型、多 K、多阈值比较，应记录全部实验，避免只报告最好的一个。</w:t>
      </w:r>
    </w:p>
    <w:p w14:paraId="6DD96B40">
      <w:pPr>
        <w:pStyle w:val="3"/>
        <w:keepNext/>
      </w:pPr>
      <w:r>
        <w:t>17 消融实验与稳健性分析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3969"/>
      </w:tblGrid>
      <w:tr w14:paraId="37BF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5BAFF03F">
            <w:pPr>
              <w:spacing w:after="40" w:line="240" w:lineRule="auto"/>
            </w:pPr>
            <w:r>
              <w:rPr>
                <w:b/>
                <w:color w:val="FFFFFF"/>
              </w:rPr>
              <w:t>消融项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8D58124">
            <w:pPr>
              <w:spacing w:after="40" w:line="240" w:lineRule="auto"/>
            </w:pPr>
            <w:r>
              <w:rPr>
                <w:b/>
                <w:color w:val="FFFFFF"/>
              </w:rPr>
              <w:t>去除内容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D669767">
            <w:pPr>
              <w:spacing w:after="40" w:line="240" w:lineRule="auto"/>
            </w:pPr>
            <w:r>
              <w:rPr>
                <w:b/>
                <w:color w:val="FFFFFF"/>
              </w:rPr>
              <w:t>需要观察</w:t>
            </w:r>
          </w:p>
        </w:tc>
      </w:tr>
      <w:tr w14:paraId="4DCA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0A80CF7C">
            <w:pPr>
              <w:spacing w:after="40" w:line="240" w:lineRule="auto"/>
            </w:pPr>
            <w:r>
              <w:rPr>
                <w:b w:val="0"/>
              </w:rPr>
              <w:t>A1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96AE427">
            <w:pPr>
              <w:spacing w:after="40" w:line="240" w:lineRule="auto"/>
            </w:pPr>
            <w:r>
              <w:rPr>
                <w:b w:val="0"/>
              </w:rPr>
              <w:t>去除行为 K-Means，改为表达式结构类别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62918F91">
            <w:pPr>
              <w:spacing w:after="40" w:line="240" w:lineRule="auto"/>
            </w:pPr>
            <w:r>
              <w:rPr>
                <w:b w:val="0"/>
              </w:rPr>
              <w:t>聚类是否带来更高簇内一致性。</w:t>
            </w:r>
          </w:p>
        </w:tc>
      </w:tr>
      <w:tr w14:paraId="7C89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F65B76">
            <w:pPr>
              <w:spacing w:after="40" w:line="240" w:lineRule="auto"/>
            </w:pPr>
            <w:r>
              <w:rPr>
                <w:b w:val="0"/>
              </w:rPr>
              <w:t>A2</w:t>
            </w:r>
          </w:p>
        </w:tc>
        <w:tc>
          <w:tcPr>
            <w:tcW w:w="3402" w:type="dxa"/>
            <w:vAlign w:val="center"/>
          </w:tcPr>
          <w:p w14:paraId="5E72CCE5">
            <w:pPr>
              <w:spacing w:after="40" w:line="240" w:lineRule="auto"/>
            </w:pPr>
            <w:r>
              <w:rPr>
                <w:b w:val="0"/>
              </w:rPr>
              <w:t>去除时间注意力</w:t>
            </w:r>
          </w:p>
        </w:tc>
        <w:tc>
          <w:tcPr>
            <w:tcW w:w="3969" w:type="dxa"/>
            <w:vAlign w:val="center"/>
          </w:tcPr>
          <w:p w14:paraId="093158B2">
            <w:pPr>
              <w:spacing w:after="40" w:line="240" w:lineRule="auto"/>
            </w:pPr>
            <w:r>
              <w:rPr>
                <w:b w:val="0"/>
              </w:rPr>
              <w:t>近期市场变化是否重要。</w:t>
            </w:r>
          </w:p>
        </w:tc>
      </w:tr>
      <w:tr w14:paraId="150F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76D56F14">
            <w:pPr>
              <w:spacing w:after="40" w:line="240" w:lineRule="auto"/>
            </w:pPr>
            <w:r>
              <w:rPr>
                <w:b w:val="0"/>
              </w:rPr>
              <w:t>A3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50B71D0">
            <w:pPr>
              <w:spacing w:after="40" w:line="240" w:lineRule="auto"/>
            </w:pPr>
            <w:r>
              <w:rPr>
                <w:b w:val="0"/>
              </w:rPr>
              <w:t>去除 CoE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0F7DCAB4">
            <w:pPr>
              <w:spacing w:after="40" w:line="240" w:lineRule="auto"/>
            </w:pPr>
            <w:r>
              <w:rPr>
                <w:b w:val="0"/>
              </w:rPr>
              <w:t>非线性专家结构的边际贡献。</w:t>
            </w:r>
          </w:p>
        </w:tc>
      </w:tr>
      <w:tr w14:paraId="39CE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C446E26">
            <w:pPr>
              <w:spacing w:after="40" w:line="240" w:lineRule="auto"/>
            </w:pPr>
            <w:r>
              <w:rPr>
                <w:b w:val="0"/>
              </w:rPr>
              <w:t>A4</w:t>
            </w:r>
          </w:p>
        </w:tc>
        <w:tc>
          <w:tcPr>
            <w:tcW w:w="3402" w:type="dxa"/>
            <w:vAlign w:val="center"/>
          </w:tcPr>
          <w:p w14:paraId="564C6275">
            <w:pPr>
              <w:spacing w:after="40" w:line="240" w:lineRule="auto"/>
            </w:pPr>
            <w:r>
              <w:rPr>
                <w:b w:val="0"/>
              </w:rPr>
              <w:t>去除 MACoE</w:t>
            </w:r>
          </w:p>
        </w:tc>
        <w:tc>
          <w:tcPr>
            <w:tcW w:w="3969" w:type="dxa"/>
            <w:vAlign w:val="center"/>
          </w:tcPr>
          <w:p w14:paraId="6823CC1E">
            <w:pPr>
              <w:spacing w:after="40" w:line="240" w:lineRule="auto"/>
            </w:pPr>
            <w:r>
              <w:rPr>
                <w:b w:val="0"/>
              </w:rPr>
              <w:t>市场环境信息的贡献。</w:t>
            </w:r>
          </w:p>
        </w:tc>
      </w:tr>
      <w:tr w14:paraId="667E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1AABD318">
            <w:pPr>
              <w:spacing w:after="40" w:line="240" w:lineRule="auto"/>
            </w:pPr>
            <w:r>
              <w:rPr>
                <w:b w:val="0"/>
              </w:rPr>
              <w:t>A5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AA408C7">
            <w:pPr>
              <w:spacing w:after="40" w:line="240" w:lineRule="auto"/>
            </w:pPr>
            <w:r>
              <w:rPr>
                <w:b w:val="0"/>
              </w:rPr>
              <w:t>去除 PACoE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6E2DB0B2">
            <w:pPr>
              <w:spacing w:after="40" w:line="240" w:lineRule="auto"/>
            </w:pPr>
            <w:r>
              <w:rPr>
                <w:b w:val="0"/>
              </w:rPr>
              <w:t>近期绩效信息的贡献。</w:t>
            </w:r>
          </w:p>
        </w:tc>
      </w:tr>
      <w:tr w14:paraId="429A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DFB09C3">
            <w:pPr>
              <w:spacing w:after="40" w:line="240" w:lineRule="auto"/>
            </w:pPr>
            <w:r>
              <w:rPr>
                <w:b w:val="0"/>
              </w:rPr>
              <w:t>A6</w:t>
            </w:r>
          </w:p>
        </w:tc>
        <w:tc>
          <w:tcPr>
            <w:tcW w:w="3402" w:type="dxa"/>
            <w:vAlign w:val="center"/>
          </w:tcPr>
          <w:p w14:paraId="0190B184">
            <w:pPr>
              <w:spacing w:after="40" w:line="240" w:lineRule="auto"/>
            </w:pPr>
            <w:r>
              <w:rPr>
                <w:b w:val="0"/>
              </w:rPr>
              <w:t>去除 Gumbel Top-k</w:t>
            </w:r>
          </w:p>
        </w:tc>
        <w:tc>
          <w:tcPr>
            <w:tcW w:w="3969" w:type="dxa"/>
            <w:vAlign w:val="center"/>
          </w:tcPr>
          <w:p w14:paraId="7B28DAA2">
            <w:pPr>
              <w:spacing w:after="40" w:line="240" w:lineRule="auto"/>
            </w:pPr>
            <w:r>
              <w:rPr>
                <w:b w:val="0"/>
              </w:rPr>
              <w:t>动态稀疏选择是否改善成本后结果。</w:t>
            </w:r>
          </w:p>
        </w:tc>
      </w:tr>
      <w:tr w14:paraId="4496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39C22D74">
            <w:pPr>
              <w:spacing w:after="40" w:line="240" w:lineRule="auto"/>
            </w:pPr>
            <w:r>
              <w:rPr>
                <w:b w:val="0"/>
              </w:rPr>
              <w:t>A7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7A9B31A">
            <w:pPr>
              <w:spacing w:after="40" w:line="240" w:lineRule="auto"/>
            </w:pPr>
            <w:r>
              <w:rPr>
                <w:b w:val="0"/>
              </w:rPr>
              <w:t>去除换手、相关性和成本惩罚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32FF1C41">
            <w:pPr>
              <w:spacing w:after="40" w:line="240" w:lineRule="auto"/>
            </w:pPr>
            <w:r>
              <w:rPr>
                <w:b w:val="0"/>
              </w:rPr>
              <w:t>风险约束是否真正有效。</w:t>
            </w:r>
          </w:p>
        </w:tc>
      </w:tr>
      <w:tr w14:paraId="4A1B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DA8886">
            <w:pPr>
              <w:spacing w:after="40" w:line="240" w:lineRule="auto"/>
            </w:pPr>
            <w:r>
              <w:rPr>
                <w:b w:val="0"/>
              </w:rPr>
              <w:t>A8</w:t>
            </w:r>
          </w:p>
        </w:tc>
        <w:tc>
          <w:tcPr>
            <w:tcW w:w="3402" w:type="dxa"/>
            <w:vAlign w:val="center"/>
          </w:tcPr>
          <w:p w14:paraId="0DB97613">
            <w:pPr>
              <w:spacing w:after="40" w:line="240" w:lineRule="auto"/>
            </w:pPr>
            <w:r>
              <w:rPr>
                <w:b w:val="0"/>
              </w:rPr>
              <w:t>改变训练/验证/测试边界</w:t>
            </w:r>
          </w:p>
        </w:tc>
        <w:tc>
          <w:tcPr>
            <w:tcW w:w="3969" w:type="dxa"/>
            <w:vAlign w:val="center"/>
          </w:tcPr>
          <w:p w14:paraId="5CFCC8AD">
            <w:pPr>
              <w:spacing w:after="40" w:line="240" w:lineRule="auto"/>
            </w:pPr>
            <w:r>
              <w:rPr>
                <w:b w:val="0"/>
              </w:rPr>
              <w:t>结论是否依赖某个特定时期。</w:t>
            </w:r>
          </w:p>
        </w:tc>
      </w:tr>
      <w:tr w14:paraId="43FC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7DE3B542">
            <w:pPr>
              <w:spacing w:after="40" w:line="240" w:lineRule="auto"/>
            </w:pPr>
            <w:r>
              <w:rPr>
                <w:b w:val="0"/>
              </w:rPr>
              <w:t>A9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A8C2C91">
            <w:pPr>
              <w:spacing w:after="40" w:line="240" w:lineRule="auto"/>
            </w:pPr>
            <w:r>
              <w:rPr>
                <w:b w:val="0"/>
              </w:rPr>
              <w:t>改变成本和滑点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3A055860">
            <w:pPr>
              <w:spacing w:after="40" w:line="240" w:lineRule="auto"/>
            </w:pPr>
            <w:r>
              <w:rPr>
                <w:b w:val="0"/>
              </w:rPr>
              <w:t>策略对交易摩擦是否敏感。</w:t>
            </w:r>
          </w:p>
        </w:tc>
      </w:tr>
    </w:tbl>
    <w:p w14:paraId="312F1BE1">
      <w:pPr>
        <w:spacing w:after="0"/>
      </w:pPr>
    </w:p>
    <w:p w14:paraId="1A30D856">
      <w:pPr>
        <w:pStyle w:val="3"/>
        <w:keepNext/>
      </w:pPr>
      <w:r>
        <w:t>18 评价指标体系</w:t>
      </w:r>
    </w:p>
    <w:p w14:paraId="26D10A2C">
      <w:pPr>
        <w:pStyle w:val="4"/>
        <w:keepNext/>
      </w:pPr>
      <w:r>
        <w:t>18.1 因子层指标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41758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022DF64">
            <w:pPr>
              <w:spacing w:after="40" w:line="240" w:lineRule="auto"/>
            </w:pPr>
            <w:r>
              <w:rPr>
                <w:b/>
                <w:color w:val="FFFFFF"/>
              </w:rPr>
              <w:t>指标类别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E54CF97">
            <w:pPr>
              <w:spacing w:after="40" w:line="240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C0C5066">
            <w:pPr>
              <w:spacing w:after="40" w:line="240" w:lineRule="auto"/>
            </w:pPr>
            <w:r>
              <w:rPr>
                <w:b/>
                <w:color w:val="FFFFFF"/>
              </w:rPr>
              <w:t>判断原则</w:t>
            </w:r>
          </w:p>
        </w:tc>
      </w:tr>
      <w:tr w14:paraId="49F3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235D239E">
            <w:pPr>
              <w:spacing w:after="40" w:line="240" w:lineRule="auto"/>
            </w:pPr>
            <w:r>
              <w:rPr>
                <w:b w:val="0"/>
              </w:rPr>
              <w:t>预测能力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765288DE">
            <w:pPr>
              <w:spacing w:after="40" w:line="240" w:lineRule="auto"/>
            </w:pPr>
            <w:r>
              <w:rPr>
                <w:b w:val="0"/>
              </w:rPr>
              <w:t>IC、Rank IC、回归斜率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D9EA00C">
            <w:pPr>
              <w:spacing w:after="40" w:line="240" w:lineRule="auto"/>
            </w:pPr>
            <w:r>
              <w:rPr>
                <w:b w:val="0"/>
              </w:rPr>
              <w:t>关注均值、方向、分布和状态条件差异。</w:t>
            </w:r>
          </w:p>
        </w:tc>
      </w:tr>
      <w:tr w14:paraId="578A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E945EE">
            <w:pPr>
              <w:spacing w:after="40" w:line="240" w:lineRule="auto"/>
            </w:pPr>
            <w:r>
              <w:rPr>
                <w:b w:val="0"/>
              </w:rPr>
              <w:t>稳定性</w:t>
            </w:r>
          </w:p>
        </w:tc>
        <w:tc>
          <w:tcPr>
            <w:tcW w:w="3402" w:type="dxa"/>
            <w:vAlign w:val="center"/>
          </w:tcPr>
          <w:p w14:paraId="34F61B3C">
            <w:pPr>
              <w:spacing w:after="40" w:line="240" w:lineRule="auto"/>
            </w:pPr>
            <w:r>
              <w:rPr>
                <w:b w:val="0"/>
              </w:rPr>
              <w:t>ICIR、Rank ICIR、正值比例、滚动稳定性</w:t>
            </w:r>
          </w:p>
        </w:tc>
        <w:tc>
          <w:tcPr>
            <w:tcW w:w="3402" w:type="dxa"/>
            <w:vAlign w:val="center"/>
          </w:tcPr>
          <w:p w14:paraId="13A7F551">
            <w:pPr>
              <w:spacing w:after="40" w:line="240" w:lineRule="auto"/>
            </w:pPr>
            <w:r>
              <w:rPr>
                <w:b w:val="0"/>
              </w:rPr>
              <w:t>不能只看全样本均值。</w:t>
            </w:r>
          </w:p>
        </w:tc>
      </w:tr>
      <w:tr w14:paraId="769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4C59AF01">
            <w:pPr>
              <w:spacing w:after="40" w:line="240" w:lineRule="auto"/>
            </w:pPr>
            <w:r>
              <w:rPr>
                <w:b w:val="0"/>
              </w:rPr>
              <w:t>可用性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6C2786E3">
            <w:pPr>
              <w:spacing w:after="40" w:line="240" w:lineRule="auto"/>
            </w:pPr>
            <w:r>
              <w:rPr>
                <w:b w:val="0"/>
              </w:rPr>
              <w:t>Coverage、有效截面样本数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1880527B">
            <w:pPr>
              <w:spacing w:after="40" w:line="240" w:lineRule="auto"/>
            </w:pPr>
            <w:r>
              <w:rPr>
                <w:b w:val="0"/>
              </w:rPr>
              <w:t>缺失值保留为空。</w:t>
            </w:r>
          </w:p>
        </w:tc>
      </w:tr>
      <w:tr w14:paraId="3E33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BF8149">
            <w:pPr>
              <w:spacing w:after="40" w:line="240" w:lineRule="auto"/>
            </w:pPr>
            <w:r>
              <w:rPr>
                <w:b w:val="0"/>
              </w:rPr>
              <w:t>交易属性</w:t>
            </w:r>
          </w:p>
        </w:tc>
        <w:tc>
          <w:tcPr>
            <w:tcW w:w="3402" w:type="dxa"/>
            <w:vAlign w:val="center"/>
          </w:tcPr>
          <w:p w14:paraId="493F03AB">
            <w:pPr>
              <w:spacing w:after="40" w:line="240" w:lineRule="auto"/>
            </w:pPr>
            <w:r>
              <w:rPr>
                <w:b w:val="0"/>
              </w:rPr>
              <w:t>换手、交易次数、持仓数、成本</w:t>
            </w:r>
          </w:p>
        </w:tc>
        <w:tc>
          <w:tcPr>
            <w:tcW w:w="3402" w:type="dxa"/>
            <w:vAlign w:val="center"/>
          </w:tcPr>
          <w:p w14:paraId="3B47A9D6">
            <w:pPr>
              <w:spacing w:after="40" w:line="240" w:lineRule="auto"/>
            </w:pPr>
            <w:r>
              <w:rPr>
                <w:b w:val="0"/>
              </w:rPr>
              <w:t>结合净收益判断。</w:t>
            </w:r>
          </w:p>
        </w:tc>
      </w:tr>
      <w:tr w14:paraId="1CE8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2F1B0018">
            <w:pPr>
              <w:spacing w:after="40" w:line="240" w:lineRule="auto"/>
            </w:pPr>
            <w:r>
              <w:rPr>
                <w:b w:val="0"/>
              </w:rPr>
              <w:t>相关性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9E3D541">
            <w:pPr>
              <w:spacing w:after="40" w:line="240" w:lineRule="auto"/>
            </w:pPr>
            <w:r>
              <w:rPr>
                <w:b w:val="0"/>
              </w:rPr>
              <w:t>因子间 Spearman、簇内/簇间相关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0BE71230">
            <w:pPr>
              <w:spacing w:after="40" w:line="240" w:lineRule="auto"/>
            </w:pPr>
            <w:r>
              <w:rPr>
                <w:b w:val="0"/>
              </w:rPr>
              <w:t>用于去重和互补性分析。</w:t>
            </w:r>
          </w:p>
        </w:tc>
      </w:tr>
    </w:tbl>
    <w:p w14:paraId="70235710">
      <w:pPr>
        <w:spacing w:after="0"/>
      </w:pPr>
    </w:p>
    <w:p w14:paraId="770F5F7B">
      <w:pPr>
        <w:pStyle w:val="4"/>
        <w:keepNext/>
      </w:pPr>
      <w:r>
        <w:t>18.2 组合层指标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953"/>
      </w:tblGrid>
      <w:tr w14:paraId="5031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535CC731">
            <w:pPr>
              <w:spacing w:after="40" w:line="240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32666472">
            <w:pPr>
              <w:spacing w:after="40" w:line="240" w:lineRule="auto"/>
            </w:pPr>
            <w:r>
              <w:rPr>
                <w:b/>
                <w:color w:val="FFFFFF"/>
              </w:rPr>
              <w:t>公式或说明</w:t>
            </w:r>
          </w:p>
        </w:tc>
      </w:tr>
      <w:tr w14:paraId="5337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10AFC106">
            <w:pPr>
              <w:spacing w:after="40" w:line="240" w:lineRule="auto"/>
            </w:pPr>
            <w:r>
              <w:rPr>
                <w:b w:val="0"/>
              </w:rPr>
              <w:t>总收益</w:t>
            </w:r>
          </w:p>
        </w:tc>
        <w:tc>
          <w:tcPr>
            <w:tcW w:w="5953" w:type="dxa"/>
            <w:shd w:val="clear" w:color="auto" w:fill="EAF2F8"/>
            <w:vAlign w:val="center"/>
          </w:tcPr>
          <w:p w14:paraId="19116C13">
            <w:pPr>
              <w:spacing w:after="40" w:line="240" w:lineRule="auto"/>
            </w:pPr>
            <w:r>
              <w:rPr>
                <w:b w:val="0"/>
              </w:rPr>
              <w:t>测试期净值增长率。</w:t>
            </w:r>
          </w:p>
        </w:tc>
      </w:tr>
      <w:tr w14:paraId="3414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08159E0">
            <w:pPr>
              <w:spacing w:after="40" w:line="240" w:lineRule="auto"/>
            </w:pPr>
            <w:r>
              <w:rPr>
                <w:b w:val="0"/>
              </w:rPr>
              <w:t>年化收益</w:t>
            </w:r>
          </w:p>
        </w:tc>
        <w:tc>
          <w:tcPr>
            <w:tcW w:w="5953" w:type="dxa"/>
            <w:vAlign w:val="center"/>
          </w:tcPr>
          <w:p w14:paraId="5068749B">
            <w:pPr>
              <w:spacing w:after="40" w:line="240" w:lineRule="auto"/>
            </w:pPr>
            <w:r>
              <w:rPr>
                <w:b w:val="0"/>
              </w:rPr>
              <w:t>按交易日年化。</w:t>
            </w:r>
          </w:p>
        </w:tc>
      </w:tr>
      <w:tr w14:paraId="4E63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10C304CB">
            <w:pPr>
              <w:spacing w:after="40" w:line="240" w:lineRule="auto"/>
            </w:pPr>
            <w:r>
              <w:rPr>
                <w:b w:val="0"/>
              </w:rPr>
              <w:t>Sharpe</w:t>
            </w:r>
          </w:p>
        </w:tc>
        <w:tc>
          <w:tcPr>
            <w:tcW w:w="5953" w:type="dxa"/>
            <w:shd w:val="clear" w:color="auto" w:fill="EAF2F8"/>
            <w:vAlign w:val="center"/>
          </w:tcPr>
          <w:p w14:paraId="570CAF36">
            <w:pPr>
              <w:spacing w:after="40" w:line="240" w:lineRule="auto"/>
            </w:pPr>
            <w:r>
              <w:rPr>
                <w:b w:val="0"/>
              </w:rPr>
              <w:t>年化平均超额收益 / 年化波动。</w:t>
            </w:r>
          </w:p>
        </w:tc>
      </w:tr>
      <w:tr w14:paraId="63AD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2FDF87F">
            <w:pPr>
              <w:spacing w:after="40" w:line="240" w:lineRule="auto"/>
            </w:pPr>
            <w:r>
              <w:rPr>
                <w:b w:val="0"/>
              </w:rPr>
              <w:t>最大回撤</w:t>
            </w:r>
          </w:p>
        </w:tc>
        <w:tc>
          <w:tcPr>
            <w:tcW w:w="5953" w:type="dxa"/>
            <w:vAlign w:val="center"/>
          </w:tcPr>
          <w:p w14:paraId="3C953A9B">
            <w:pPr>
              <w:spacing w:after="40" w:line="240" w:lineRule="auto"/>
            </w:pPr>
            <w:r>
              <w:rPr>
                <w:b w:val="0"/>
              </w:rPr>
              <w:t>净值相对历史峰值的最大跌幅。</w:t>
            </w:r>
          </w:p>
        </w:tc>
      </w:tr>
      <w:tr w14:paraId="7353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7F96AE89">
            <w:pPr>
              <w:spacing w:after="40" w:line="240" w:lineRule="auto"/>
            </w:pPr>
            <w:r>
              <w:rPr>
                <w:b w:val="0"/>
              </w:rPr>
              <w:t>Calmar</w:t>
            </w:r>
          </w:p>
        </w:tc>
        <w:tc>
          <w:tcPr>
            <w:tcW w:w="5953" w:type="dxa"/>
            <w:shd w:val="clear" w:color="auto" w:fill="EAF2F8"/>
            <w:vAlign w:val="center"/>
          </w:tcPr>
          <w:p w14:paraId="173E0BFC">
            <w:pPr>
              <w:spacing w:after="40" w:line="240" w:lineRule="auto"/>
            </w:pPr>
            <w:r>
              <w:rPr>
                <w:b w:val="0"/>
              </w:rPr>
              <w:t>年化收益 / 最大回撤绝对值。</w:t>
            </w:r>
          </w:p>
        </w:tc>
      </w:tr>
      <w:tr w14:paraId="3590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3BF66C7">
            <w:pPr>
              <w:spacing w:after="40" w:line="240" w:lineRule="auto"/>
            </w:pPr>
            <w:r>
              <w:rPr>
                <w:b w:val="0"/>
              </w:rPr>
              <w:t>换手率</w:t>
            </w:r>
          </w:p>
        </w:tc>
        <w:tc>
          <w:tcPr>
            <w:tcW w:w="5953" w:type="dxa"/>
            <w:vAlign w:val="center"/>
          </w:tcPr>
          <w:p w14:paraId="62E0F0F1">
            <w:pPr>
              <w:spacing w:after="40" w:line="240" w:lineRule="auto"/>
            </w:pPr>
            <w:r>
              <w:rPr>
                <w:b w:val="0"/>
              </w:rPr>
              <w:t>相邻持仓变化的规模统计。</w:t>
            </w:r>
          </w:p>
        </w:tc>
      </w:tr>
      <w:tr w14:paraId="3C166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42B7FAE1">
            <w:pPr>
              <w:spacing w:after="40" w:line="240" w:lineRule="auto"/>
            </w:pPr>
            <w:r>
              <w:rPr>
                <w:b w:val="0"/>
              </w:rPr>
              <w:t>成本占比</w:t>
            </w:r>
          </w:p>
        </w:tc>
        <w:tc>
          <w:tcPr>
            <w:tcW w:w="5953" w:type="dxa"/>
            <w:shd w:val="clear" w:color="auto" w:fill="EAF2F8"/>
            <w:vAlign w:val="center"/>
          </w:tcPr>
          <w:p w14:paraId="0E0F29BB">
            <w:pPr>
              <w:spacing w:after="40" w:line="240" w:lineRule="auto"/>
            </w:pPr>
            <w:r>
              <w:rPr>
                <w:b w:val="0"/>
              </w:rPr>
              <w:t>总成本 / 毛收益或期初资产。</w:t>
            </w:r>
          </w:p>
        </w:tc>
      </w:tr>
      <w:tr w14:paraId="1F61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2698150">
            <w:pPr>
              <w:spacing w:after="40" w:line="240" w:lineRule="auto"/>
            </w:pPr>
            <w:r>
              <w:rPr>
                <w:b w:val="0"/>
              </w:rPr>
              <w:t>状态条件表现</w:t>
            </w:r>
          </w:p>
        </w:tc>
        <w:tc>
          <w:tcPr>
            <w:tcW w:w="5953" w:type="dxa"/>
            <w:vAlign w:val="center"/>
          </w:tcPr>
          <w:p w14:paraId="56F9463D">
            <w:pPr>
              <w:spacing w:after="40" w:line="240" w:lineRule="auto"/>
            </w:pPr>
            <w:r>
              <w:rPr>
                <w:b w:val="0"/>
              </w:rPr>
              <w:t>分别报告 bull、bear、sideways、high_volatility。</w:t>
            </w:r>
          </w:p>
        </w:tc>
      </w:tr>
    </w:tbl>
    <w:p w14:paraId="712771CA">
      <w:pPr>
        <w:spacing w:after="0"/>
      </w:pPr>
    </w:p>
    <w:p w14:paraId="052C4FE5">
      <w:pPr>
        <w:pStyle w:val="4"/>
        <w:keepNext/>
      </w:pPr>
      <w:r>
        <w:t>18.3 选择模型的首要原则</w:t>
      </w:r>
    </w:p>
    <w:p w14:paraId="66810589">
      <w:pPr>
        <w:pStyle w:val="19"/>
        <w:spacing w:line="307" w:lineRule="auto"/>
        <w:ind w:firstLine="420"/>
      </w:pPr>
      <w:r>
        <w:t>优先选择测试期表现稳定、成本后仍有收益、不同市场状态下没有灾难性失效的模型，而不是单纯选择测试期总收益最高的模型。对动态路由，必须同时报告入选频率、因子权重集中度、状态切换时的换手和模型置信度。</w:t>
      </w:r>
    </w:p>
    <w:p w14:paraId="45E6A35B">
      <w:pPr>
        <w:pStyle w:val="3"/>
        <w:keepNext/>
      </w:pPr>
      <w:r>
        <w:t>19 数据与工程实现规范</w:t>
      </w:r>
    </w:p>
    <w:p w14:paraId="2466696E">
      <w:pPr>
        <w:pStyle w:val="4"/>
        <w:keepNext/>
      </w:pPr>
      <w:r>
        <w:t>19.1 独立数据目录</w:t>
      </w:r>
    </w:p>
    <w:p w14:paraId="4A614F3B">
      <w:pPr>
        <w:pStyle w:val="164"/>
        <w:jc w:val="center"/>
      </w:pPr>
      <w:r>
        <w:t>research_data/snapshots/&lt;snapshot_id&gt;/</w:t>
      </w:r>
      <w:r>
        <w:br w:type="textWrapping"/>
      </w:r>
      <w:r>
        <w:t xml:space="preserve">  market.parquet</w:t>
      </w:r>
      <w:r>
        <w:br w:type="textWrapping"/>
      </w:r>
      <w:r>
        <w:t xml:space="preserve">  universe.csv</w:t>
      </w:r>
      <w:r>
        <w:br w:type="textWrapping"/>
      </w:r>
      <w:r>
        <w:t xml:space="preserve">  factor_catalog.parquet</w:t>
      </w:r>
      <w:r>
        <w:br w:type="textWrapping"/>
      </w:r>
      <w:r>
        <w:t xml:space="preserve">  factor_metrics.parquet</w:t>
      </w:r>
      <w:r>
        <w:br w:type="textWrapping"/>
      </w:r>
      <w:r>
        <w:t xml:space="preserve">  backtest_metrics.parquet</w:t>
      </w:r>
      <w:r>
        <w:br w:type="textWrapping"/>
      </w:r>
      <w:r>
        <w:t xml:space="preserve">  manifest.json</w:t>
      </w:r>
    </w:p>
    <w:p w14:paraId="2CB57A66">
      <w:pPr>
        <w:pStyle w:val="164"/>
        <w:jc w:val="center"/>
      </w:pPr>
      <w:r>
        <w:t>research_runs/&lt;run_id&gt;/</w:t>
      </w:r>
      <w:r>
        <w:br w:type="textWrapping"/>
      </w:r>
      <w:r>
        <w:t xml:space="preserve">  config.json</w:t>
      </w:r>
      <w:r>
        <w:br w:type="textWrapping"/>
      </w:r>
      <w:r>
        <w:t xml:space="preserve">  manifest.json</w:t>
      </w:r>
      <w:r>
        <w:br w:type="textWrapping"/>
      </w:r>
      <w:r>
        <w:t xml:space="preserve">  market_states.parquet</w:t>
      </w:r>
      <w:r>
        <w:br w:type="textWrapping"/>
      </w:r>
      <w:r>
        <w:t xml:space="preserve">  factor_behavior.parquet</w:t>
      </w:r>
      <w:r>
        <w:br w:type="textWrapping"/>
      </w:r>
      <w:r>
        <w:t xml:space="preserve">  cluster_labels.parquet</w:t>
      </w:r>
      <w:r>
        <w:br w:type="textWrapping"/>
      </w:r>
      <w:r>
        <w:t xml:space="preserve">  router_outputs.parquet</w:t>
      </w:r>
      <w:r>
        <w:br w:type="textWrapping"/>
      </w:r>
      <w:r>
        <w:t xml:space="preserve">  portfolio_metrics.parquet</w:t>
      </w:r>
    </w:p>
    <w:p w14:paraId="20F3F4A6">
      <w:pPr>
        <w:pStyle w:val="4"/>
        <w:keepNext/>
      </w:pPr>
      <w:r>
        <w:t>19.2 运行元数据</w:t>
      </w:r>
    </w:p>
    <w:p w14:paraId="26B5574C">
      <w:pPr>
        <w:pStyle w:val="19"/>
        <w:spacing w:line="307" w:lineRule="auto"/>
        <w:ind w:firstLine="420"/>
      </w:pPr>
      <w:r>
        <w:t>每次运行至少记录 snapshot_id、输入运行编号、日期边界、预测周期、市场窗口、绩效窗口、K、随机种子、模型超参数、费用配置、软件版本和输出文件哈希。研究结果不能只保存一个最终分数而丢失产生过程。</w:t>
      </w:r>
    </w:p>
    <w:p w14:paraId="4CD699A4">
      <w:pPr>
        <w:pStyle w:val="4"/>
        <w:keepNext/>
      </w:pPr>
      <w:r>
        <w:t>19.3 缺失与异常</w:t>
      </w:r>
    </w:p>
    <w:p w14:paraId="60D5570F">
      <w:pPr>
        <w:pStyle w:val="16"/>
        <w:spacing w:line="276" w:lineRule="auto"/>
      </w:pPr>
      <w:r>
        <w:t>缺少必需列或主键重复时立即失败。</w:t>
      </w:r>
    </w:p>
    <w:p w14:paraId="3A46D917">
      <w:pPr>
        <w:pStyle w:val="16"/>
        <w:spacing w:line="276" w:lineRule="auto"/>
      </w:pPr>
      <w:r>
        <w:t>无法计算的因子值记录失败原因，不以 0 代替。</w:t>
      </w:r>
    </w:p>
    <w:p w14:paraId="21FFDC9F">
      <w:pPr>
        <w:pStyle w:val="16"/>
        <w:spacing w:line="276" w:lineRule="auto"/>
      </w:pPr>
      <w:r>
        <w:t>截面有效股票数小于 3 时 IC 为空。</w:t>
      </w:r>
    </w:p>
    <w:p w14:paraId="3B3888E1">
      <w:pPr>
        <w:pStyle w:val="16"/>
        <w:spacing w:line="276" w:lineRule="auto"/>
      </w:pPr>
      <w:r>
        <w:t>状态样本过少时保留指标为空，并在报告中提示统计不稳定。</w:t>
      </w:r>
    </w:p>
    <w:p w14:paraId="08ED0EEC">
      <w:pPr>
        <w:pStyle w:val="16"/>
        <w:spacing w:line="276" w:lineRule="auto"/>
      </w:pPr>
      <w:r>
        <w:t>所有异常处理都写入 manifest 和研究日志。</w:t>
      </w:r>
    </w:p>
    <w:p w14:paraId="6429F09D">
      <w:pPr>
        <w:pStyle w:val="3"/>
        <w:keepNext/>
      </w:pPr>
      <w:r>
        <w:t>20 端到端研究流程</w:t>
      </w:r>
    </w:p>
    <w:p w14:paraId="0B7AA578">
      <w:pPr>
        <w:pStyle w:val="4"/>
        <w:keepNext/>
      </w:pPr>
      <w:r>
        <w:t>20.1 流程清单</w:t>
      </w:r>
    </w:p>
    <w:p w14:paraId="39B62599">
      <w:pPr>
        <w:pStyle w:val="14"/>
        <w:spacing w:line="276" w:lineRule="auto"/>
      </w:pPr>
      <w:r>
        <w:t>导出原系统行情、股票池、因子目录和已有回测指标，生成不可变 snapshot。</w:t>
      </w:r>
    </w:p>
    <w:p w14:paraId="06A0FE16">
      <w:pPr>
        <w:pStyle w:val="14"/>
        <w:spacing w:line="276" w:lineRule="auto"/>
      </w:pPr>
      <w:r>
        <w:t>校验日期、股票代码、主键、字段、文件哈希和数据范围。</w:t>
      </w:r>
    </w:p>
    <w:p w14:paraId="78A578D1">
      <w:pPr>
        <w:pStyle w:val="14"/>
        <w:spacing w:line="276" w:lineRule="auto"/>
      </w:pPr>
      <w:r>
        <w:t>根据独立快照中的表达式计算逐因子值，保存分区文件。</w:t>
      </w:r>
    </w:p>
    <w:p w14:paraId="016E421F">
      <w:pPr>
        <w:pStyle w:val="14"/>
        <w:spacing w:line="276" w:lineRule="auto"/>
      </w:pPr>
      <w:r>
        <w:t>计算未来收益标签，并严格处理标签成熟日期。</w:t>
      </w:r>
    </w:p>
    <w:p w14:paraId="6B12D2E4">
      <w:pPr>
        <w:pStyle w:val="14"/>
        <w:spacing w:line="276" w:lineRule="auto"/>
      </w:pPr>
      <w:r>
        <w:t>在训练窗口计算多尺度 IC、Rank IC、回归斜率、覆盖率、换手和成本。</w:t>
      </w:r>
    </w:p>
    <w:p w14:paraId="4E17E59F">
      <w:pPr>
        <w:pStyle w:val="14"/>
        <w:spacing w:line="276" w:lineRule="auto"/>
      </w:pPr>
      <w:r>
        <w:t>对行为序列进行标准化和 K-Means 聚类，选择簇数并保存聚类参数。</w:t>
      </w:r>
    </w:p>
    <w:p w14:paraId="20F2D98F">
      <w:pPr>
        <w:pStyle w:val="14"/>
        <w:spacing w:line="276" w:lineRule="auto"/>
      </w:pPr>
      <w:r>
        <w:t>从训练期每个簇中选取代表因子，形成 20-50 个模型候选池。</w:t>
      </w:r>
    </w:p>
    <w:p w14:paraId="782DE675">
      <w:pPr>
        <w:pStyle w:val="14"/>
        <w:spacing w:line="276" w:lineRule="auto"/>
      </w:pPr>
      <w:r>
        <w:t>构造最近 40 日市场状态矩阵，训练规则或状态模型。</w:t>
      </w:r>
    </w:p>
    <w:p w14:paraId="361FD070">
      <w:pPr>
        <w:pStyle w:val="14"/>
        <w:spacing w:line="276" w:lineRule="auto"/>
      </w:pPr>
      <w:r>
        <w:t>计算 MACoE 市场引导分数和 PACoE 绩效引导分数。</w:t>
      </w:r>
    </w:p>
    <w:p w14:paraId="4DD701E9">
      <w:pPr>
        <w:pStyle w:val="14"/>
        <w:spacing w:line="276" w:lineRule="auto"/>
      </w:pPr>
      <w:r>
        <w:t>通过 Group-level Router 选择因子群，再由 Factor-level Router 选择具体因子。</w:t>
      </w:r>
    </w:p>
    <w:p w14:paraId="078574E7">
      <w:pPr>
        <w:pStyle w:val="14"/>
        <w:spacing w:line="276" w:lineRule="auto"/>
      </w:pPr>
      <w:r>
        <w:t>融合两路分数，训练期使用 Gumbel Top-k，推理期使用确定性 Top-k。</w:t>
      </w:r>
    </w:p>
    <w:p w14:paraId="61979EBE">
      <w:pPr>
        <w:pStyle w:val="14"/>
        <w:spacing w:line="276" w:lineRule="auto"/>
      </w:pPr>
      <w:r>
        <w:t>将因子组合转换为股票权重，施加单股、可交易性和暴露约束。</w:t>
      </w:r>
    </w:p>
    <w:p w14:paraId="6B317364">
      <w:pPr>
        <w:pStyle w:val="14"/>
        <w:spacing w:line="276" w:lineRule="auto"/>
      </w:pPr>
      <w:r>
        <w:t>按下一交易时点执行，加入手续费、滑点、冲击成本和换手惩罚。</w:t>
      </w:r>
    </w:p>
    <w:p w14:paraId="1AB3D30E">
      <w:pPr>
        <w:pStyle w:val="14"/>
        <w:spacing w:line="276" w:lineRule="auto"/>
      </w:pPr>
      <w:r>
        <w:t>在验证集选择模型和超参数，冻结配置后只在测试集运行一次。</w:t>
      </w:r>
    </w:p>
    <w:p w14:paraId="0EA29AB7">
      <w:pPr>
        <w:pStyle w:val="14"/>
        <w:spacing w:line="276" w:lineRule="auto"/>
      </w:pPr>
      <w:r>
        <w:t>报告因子、类别、状态、组合和成本后的完整指标，并进行消融实验。</w:t>
      </w:r>
    </w:p>
    <w:p w14:paraId="6A66CF4E">
      <w:pPr>
        <w:pStyle w:val="4"/>
        <w:keepNext/>
      </w:pPr>
      <w:r>
        <w:t>20.2 研究伪代码</w:t>
      </w:r>
    </w:p>
    <w:p w14:paraId="2505318A">
      <w:pPr>
        <w:pStyle w:val="164"/>
        <w:jc w:val="center"/>
      </w:pPr>
      <w:r>
        <w:t>snapshot = export_and_validate_sources()</w:t>
      </w:r>
      <w:r>
        <w:br w:type="textWrapping"/>
      </w:r>
      <w:r>
        <w:t>market, catalog = load_snapshot(snapshot)</w:t>
      </w:r>
      <w:r>
        <w:br w:type="textWrapping"/>
      </w:r>
      <w:r>
        <w:t>values = materialize_factor_values(market, catalog)</w:t>
      </w:r>
      <w:r>
        <w:br w:type="textWrapping"/>
      </w:r>
      <w:r>
        <w:t>target = make_forward_return(market, horizon=20)</w:t>
      </w:r>
      <w:r>
        <w:br w:type="textWrapping"/>
      </w:r>
      <w:r>
        <w:t>behavior = build_rolling_behavior(values, target, train_window)</w:t>
      </w:r>
      <w:r>
        <w:br w:type="textWrapping"/>
      </w:r>
      <w:r>
        <w:t>clusters = fit_kmeans(behavior.train, K, seed)</w:t>
      </w:r>
      <w:r>
        <w:br w:type="textWrapping"/>
      </w:r>
      <w:r>
        <w:t>representatives = select_cluster_representatives(behavior.train, clusters)</w:t>
      </w:r>
      <w:r>
        <w:br w:type="textWrapping"/>
      </w:r>
      <w:r>
        <w:t>states = fit_market_state_model(market.train, state_config)</w:t>
      </w:r>
      <w:r>
        <w:br w:type="textWrapping"/>
      </w:r>
      <w:r>
        <w:t>for t in valid_or_test_dates:</w:t>
      </w:r>
      <w:r>
        <w:br w:type="textWrapping"/>
      </w:r>
      <w:r>
        <w:t xml:space="preserve">    market_window = build_market_window(market, t, tau=40)</w:t>
      </w:r>
      <w:r>
        <w:br w:type="textWrapping"/>
      </w:r>
      <w:r>
        <w:t xml:space="preserve">    factor_history = build_mature_factor_history(behavior, t)</w:t>
      </w:r>
      <w:r>
        <w:br w:type="textWrapping"/>
      </w:r>
      <w:r>
        <w:t xml:space="preserve">    g = macoe(market_window)</w:t>
      </w:r>
      <w:r>
        <w:br w:type="textWrapping"/>
      </w:r>
      <w:r>
        <w:t xml:space="preserve">    p = pacoe(factor_history)</w:t>
      </w:r>
      <w:r>
        <w:br w:type="textWrapping"/>
      </w:r>
      <w:r>
        <w:t xml:space="preserve">    scores = fuse_scores(g, p)</w:t>
      </w:r>
      <w:r>
        <w:br w:type="textWrapping"/>
      </w:r>
      <w:r>
        <w:t xml:space="preserve">    selected = top_k(scores, k_top)</w:t>
      </w:r>
      <w:r>
        <w:br w:type="textWrapping"/>
      </w:r>
      <w:r>
        <w:t xml:space="preserve">    stock_weights = alpha_to_stock_weights(values[t], selected)</w:t>
      </w:r>
      <w:r>
        <w:br w:type="textWrapping"/>
      </w:r>
      <w:r>
        <w:t xml:space="preserve">    execute_next_bar(stock_weights, costs, constraints)</w:t>
      </w:r>
      <w:r>
        <w:br w:type="textWrapping"/>
      </w:r>
      <w:r>
        <w:t>report_metrics_and_audit()</w:t>
      </w:r>
    </w:p>
    <w:p w14:paraId="27CB20C6">
      <w:pPr>
        <w:pStyle w:val="3"/>
        <w:keepNext/>
      </w:pPr>
      <w:r>
        <w:t>21 实际实现阶段划分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6CF1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A754521">
            <w:pPr>
              <w:spacing w:after="40" w:line="240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579917A6">
            <w:pPr>
              <w:spacing w:after="40" w:line="240" w:lineRule="auto"/>
            </w:pPr>
            <w:r>
              <w:rPr>
                <w:b/>
                <w:color w:val="FFFFFF"/>
              </w:rPr>
              <w:t>实现内容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2821BC1">
            <w:pPr>
              <w:spacing w:after="40" w:line="240" w:lineRule="auto"/>
            </w:pPr>
            <w:r>
              <w:rPr>
                <w:b/>
                <w:color w:val="FFFFFF"/>
              </w:rPr>
              <w:t>完成标准</w:t>
            </w:r>
          </w:p>
        </w:tc>
      </w:tr>
      <w:tr w14:paraId="7311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0D44E4B1">
            <w:pPr>
              <w:spacing w:after="40" w:line="240" w:lineRule="auto"/>
            </w:pPr>
            <w:r>
              <w:rPr>
                <w:b w:val="0"/>
              </w:rPr>
              <w:t>P0 数据底座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29FDAB43">
            <w:pPr>
              <w:spacing w:after="40" w:line="240" w:lineRule="auto"/>
            </w:pPr>
            <w:r>
              <w:rPr>
                <w:b w:val="0"/>
              </w:rPr>
              <w:t>快照、校验、逐因子值和未来收益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33104634">
            <w:pPr>
              <w:spacing w:after="40" w:line="240" w:lineRule="auto"/>
            </w:pPr>
            <w:r>
              <w:rPr>
                <w:b w:val="0"/>
              </w:rPr>
              <w:t>数据可复现，主键和哈希校验通过。</w:t>
            </w:r>
          </w:p>
        </w:tc>
      </w:tr>
      <w:tr w14:paraId="05A5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6C7C5B">
            <w:pPr>
              <w:spacing w:after="40" w:line="240" w:lineRule="auto"/>
            </w:pPr>
            <w:r>
              <w:rPr>
                <w:b w:val="0"/>
              </w:rPr>
              <w:t>P1 研究基线</w:t>
            </w:r>
          </w:p>
        </w:tc>
        <w:tc>
          <w:tcPr>
            <w:tcW w:w="3969" w:type="dxa"/>
            <w:vAlign w:val="center"/>
          </w:tcPr>
          <w:p w14:paraId="642A559F">
            <w:pPr>
              <w:spacing w:after="40" w:line="240" w:lineRule="auto"/>
            </w:pPr>
            <w:r>
              <w:rPr>
                <w:b w:val="0"/>
              </w:rPr>
              <w:t>条件 IC、规则状态、类别评分、等权组合</w:t>
            </w:r>
          </w:p>
        </w:tc>
        <w:tc>
          <w:tcPr>
            <w:tcW w:w="2835" w:type="dxa"/>
            <w:vAlign w:val="center"/>
          </w:tcPr>
          <w:p w14:paraId="26A5B482">
            <w:pPr>
              <w:spacing w:after="40" w:line="240" w:lineRule="auto"/>
            </w:pPr>
            <w:r>
              <w:rPr>
                <w:b w:val="0"/>
              </w:rPr>
              <w:t>形成可解释基线和成本回测。</w:t>
            </w:r>
          </w:p>
        </w:tc>
      </w:tr>
      <w:tr w14:paraId="6C57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6EF7F284">
            <w:pPr>
              <w:spacing w:after="40" w:line="240" w:lineRule="auto"/>
            </w:pPr>
            <w:r>
              <w:rPr>
                <w:b w:val="0"/>
              </w:rPr>
              <w:t>P2 行为聚类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D51B12A">
            <w:pPr>
              <w:spacing w:after="40" w:line="240" w:lineRule="auto"/>
            </w:pPr>
            <w:r>
              <w:rPr>
                <w:b w:val="0"/>
              </w:rPr>
              <w:t>滚动行为特征、K-Means、代表因子池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144987BB">
            <w:pPr>
              <w:spacing w:after="40" w:line="240" w:lineRule="auto"/>
            </w:pPr>
            <w:r>
              <w:rPr>
                <w:b w:val="0"/>
              </w:rPr>
              <w:t>簇稳定性和候选池规模满足要求。</w:t>
            </w:r>
          </w:p>
        </w:tc>
      </w:tr>
      <w:tr w14:paraId="55A0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076EC0">
            <w:pPr>
              <w:spacing w:after="40" w:line="240" w:lineRule="auto"/>
            </w:pPr>
            <w:r>
              <w:rPr>
                <w:b w:val="0"/>
              </w:rPr>
              <w:t>P3 动态路由简化版</w:t>
            </w:r>
          </w:p>
        </w:tc>
        <w:tc>
          <w:tcPr>
            <w:tcW w:w="3969" w:type="dxa"/>
            <w:vAlign w:val="center"/>
          </w:tcPr>
          <w:p w14:paraId="640E3A92">
            <w:pPr>
              <w:spacing w:after="40" w:line="240" w:lineRule="auto"/>
            </w:pPr>
            <w:r>
              <w:rPr>
                <w:b w:val="0"/>
              </w:rPr>
              <w:t>规则或小型 MLP 的 Group/Factor Router</w:t>
            </w:r>
          </w:p>
        </w:tc>
        <w:tc>
          <w:tcPr>
            <w:tcW w:w="2835" w:type="dxa"/>
            <w:vAlign w:val="center"/>
          </w:tcPr>
          <w:p w14:paraId="1D6EF53E">
            <w:pPr>
              <w:spacing w:after="40" w:line="240" w:lineRule="auto"/>
            </w:pPr>
            <w:r>
              <w:rPr>
                <w:b w:val="0"/>
              </w:rPr>
              <w:t>比静态基线有可重复的验证结果。</w:t>
            </w:r>
          </w:p>
        </w:tc>
      </w:tr>
      <w:tr w14:paraId="7952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1A12B3A5">
            <w:pPr>
              <w:spacing w:after="40" w:line="240" w:lineRule="auto"/>
            </w:pPr>
            <w:r>
              <w:rPr>
                <w:b w:val="0"/>
              </w:rPr>
              <w:t>P4 MACoE/PACoE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57E530AB">
            <w:pPr>
              <w:spacing w:after="40" w:line="240" w:lineRule="auto"/>
            </w:pPr>
            <w:r>
              <w:rPr>
                <w:b w:val="0"/>
              </w:rPr>
              <w:t>注意力和 CoE 模块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4DDCB4DD">
            <w:pPr>
              <w:spacing w:after="40" w:line="240" w:lineRule="auto"/>
            </w:pPr>
            <w:r>
              <w:rPr>
                <w:b w:val="0"/>
              </w:rPr>
              <w:t>完成单模块消融和训练稳定性检查。</w:t>
            </w:r>
          </w:p>
        </w:tc>
      </w:tr>
      <w:tr w14:paraId="154A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3D6025">
            <w:pPr>
              <w:spacing w:after="40" w:line="240" w:lineRule="auto"/>
            </w:pPr>
            <w:r>
              <w:rPr>
                <w:b w:val="0"/>
              </w:rPr>
              <w:t>P5 完整模型</w:t>
            </w:r>
          </w:p>
        </w:tc>
        <w:tc>
          <w:tcPr>
            <w:tcW w:w="3969" w:type="dxa"/>
            <w:vAlign w:val="center"/>
          </w:tcPr>
          <w:p w14:paraId="00DA3E6B">
            <w:pPr>
              <w:spacing w:after="40" w:line="240" w:lineRule="auto"/>
            </w:pPr>
            <w:r>
              <w:rPr>
                <w:b w:val="0"/>
              </w:rPr>
              <w:t>融合、Gumbel Top-k、换手和相关性约束</w:t>
            </w:r>
          </w:p>
        </w:tc>
        <w:tc>
          <w:tcPr>
            <w:tcW w:w="2835" w:type="dxa"/>
            <w:vAlign w:val="center"/>
          </w:tcPr>
          <w:p w14:paraId="1C8D1EF0">
            <w:pPr>
              <w:spacing w:after="40" w:line="240" w:lineRule="auto"/>
            </w:pPr>
            <w:r>
              <w:rPr>
                <w:b w:val="0"/>
              </w:rPr>
              <w:t>测试集一次性完成，输出完整审计结果。</w:t>
            </w:r>
          </w:p>
        </w:tc>
      </w:tr>
    </w:tbl>
    <w:p w14:paraId="55309556">
      <w:pPr>
        <w:spacing w:after="0"/>
      </w:pPr>
    </w:p>
    <w:p w14:paraId="607A8963">
      <w:pPr>
        <w:pStyle w:val="19"/>
        <w:spacing w:line="307" w:lineRule="auto"/>
        <w:ind w:firstLine="420"/>
      </w:pPr>
      <w:r>
        <w:t>工程上不建议直接从 P0 跳到 P5。每个阶段都应该有独立的配置、运行目录、测试和基准结果。只有当 P2 的行为聚类和 P3 的简化路由成立后，才有必要增加论文结构中的多头注意力和链式专家。</w:t>
      </w:r>
    </w:p>
    <w:p w14:paraId="16CF2F61">
      <w:pPr>
        <w:pStyle w:val="3"/>
        <w:keepNext/>
      </w:pPr>
      <w:r>
        <w:t>22 可能遇到的问题与解决方案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3118"/>
      </w:tblGrid>
      <w:tr w14:paraId="058B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FD77426">
            <w:pPr>
              <w:spacing w:after="40" w:line="240" w:lineRule="auto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F2BD7CF">
            <w:pPr>
              <w:spacing w:after="40" w:line="240" w:lineRule="auto"/>
            </w:pPr>
            <w:r>
              <w:rPr>
                <w:b/>
                <w:color w:val="FFFFFF"/>
              </w:rPr>
              <w:t>原因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99FD445">
            <w:pPr>
              <w:spacing w:after="40" w:line="240" w:lineRule="auto"/>
            </w:pPr>
            <w:r>
              <w:rPr>
                <w:b/>
                <w:color w:val="FFFFFF"/>
              </w:rPr>
              <w:t>解决方案</w:t>
            </w:r>
          </w:p>
        </w:tc>
      </w:tr>
      <w:tr w14:paraId="5B24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7251488">
            <w:pPr>
              <w:spacing w:after="40" w:line="240" w:lineRule="auto"/>
            </w:pPr>
            <w:r>
              <w:rPr>
                <w:b w:val="0"/>
              </w:rPr>
              <w:t>训练收益很好，测试崩溃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41DB4B1D">
            <w:pPr>
              <w:spacing w:after="40" w:line="240" w:lineRule="auto"/>
            </w:pPr>
            <w:r>
              <w:rPr>
                <w:b w:val="0"/>
              </w:rPr>
              <w:t>模型参数过多、窗口过短或标签泄漏。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1A1FA111">
            <w:pPr>
              <w:spacing w:after="40" w:line="240" w:lineRule="auto"/>
            </w:pPr>
            <w:r>
              <w:rPr>
                <w:b w:val="0"/>
              </w:rPr>
              <w:t>增加时间间隔、减少专家规模、做滚动验证和消融。</w:t>
            </w:r>
          </w:p>
        </w:tc>
      </w:tr>
      <w:tr w14:paraId="0794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7DDCD7">
            <w:pPr>
              <w:spacing w:after="40" w:line="240" w:lineRule="auto"/>
            </w:pPr>
            <w:r>
              <w:rPr>
                <w:b w:val="0"/>
              </w:rPr>
              <w:t>所有因子高度相关</w:t>
            </w:r>
          </w:p>
        </w:tc>
        <w:tc>
          <w:tcPr>
            <w:tcW w:w="3118" w:type="dxa"/>
            <w:vAlign w:val="center"/>
          </w:tcPr>
          <w:p w14:paraId="4705C800">
            <w:pPr>
              <w:spacing w:after="40" w:line="240" w:lineRule="auto"/>
            </w:pPr>
            <w:r>
              <w:rPr>
                <w:b w:val="0"/>
              </w:rPr>
              <w:t>生成器重复搜索相似表达式。</w:t>
            </w:r>
          </w:p>
        </w:tc>
        <w:tc>
          <w:tcPr>
            <w:tcW w:w="3118" w:type="dxa"/>
            <w:vAlign w:val="center"/>
          </w:tcPr>
          <w:p w14:paraId="729F9C2A">
            <w:pPr>
              <w:spacing w:after="40" w:line="240" w:lineRule="auto"/>
            </w:pPr>
            <w:r>
              <w:rPr>
                <w:b w:val="0"/>
              </w:rPr>
              <w:t>行为聚类、簇内去重、候选池压缩和相关性惩罚。</w:t>
            </w:r>
          </w:p>
        </w:tc>
      </w:tr>
      <w:tr w14:paraId="3AC0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E27C851">
            <w:pPr>
              <w:spacing w:after="40" w:line="240" w:lineRule="auto"/>
            </w:pPr>
            <w:r>
              <w:rPr>
                <w:b w:val="0"/>
              </w:rPr>
              <w:t>路由每天剧烈变化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46D17C1B">
            <w:pPr>
              <w:spacing w:after="40" w:line="240" w:lineRule="auto"/>
            </w:pPr>
            <w:r>
              <w:rPr>
                <w:b w:val="0"/>
              </w:rPr>
              <w:t>分数噪声大、Top-k 太硬、无换手约束。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39B4AB50">
            <w:pPr>
              <w:spacing w:after="40" w:line="240" w:lineRule="auto"/>
            </w:pPr>
            <w:r>
              <w:rPr>
                <w:b w:val="0"/>
              </w:rPr>
              <w:t>温度退火、权重平滑、换手惩罚、最小持有期。</w:t>
            </w:r>
          </w:p>
        </w:tc>
      </w:tr>
      <w:tr w14:paraId="1923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9F50BD">
            <w:pPr>
              <w:spacing w:after="40" w:line="240" w:lineRule="auto"/>
            </w:pPr>
            <w:r>
              <w:rPr>
                <w:b w:val="0"/>
              </w:rPr>
              <w:t>状态类别样本极不均衡</w:t>
            </w:r>
          </w:p>
        </w:tc>
        <w:tc>
          <w:tcPr>
            <w:tcW w:w="3118" w:type="dxa"/>
            <w:vAlign w:val="center"/>
          </w:tcPr>
          <w:p w14:paraId="0DFAF578">
            <w:pPr>
              <w:spacing w:after="40" w:line="240" w:lineRule="auto"/>
            </w:pPr>
            <w:r>
              <w:rPr>
                <w:b w:val="0"/>
              </w:rPr>
              <w:t>阈值或聚类导致某状态很少。</w:t>
            </w:r>
          </w:p>
        </w:tc>
        <w:tc>
          <w:tcPr>
            <w:tcW w:w="3118" w:type="dxa"/>
            <w:vAlign w:val="center"/>
          </w:tcPr>
          <w:p w14:paraId="683ED725">
            <w:pPr>
              <w:spacing w:after="40" w:line="240" w:lineRule="auto"/>
            </w:pPr>
            <w:r>
              <w:rPr>
                <w:b w:val="0"/>
              </w:rPr>
              <w:t>合并稀有状态、使用最小样本阈值并报告不确定性。</w:t>
            </w:r>
          </w:p>
        </w:tc>
      </w:tr>
      <w:tr w14:paraId="6E02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17FD698">
            <w:pPr>
              <w:spacing w:after="40" w:line="240" w:lineRule="auto"/>
            </w:pPr>
            <w:r>
              <w:rPr>
                <w:b w:val="0"/>
              </w:rPr>
              <w:t>PACoE 使用了未来标签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2638D9D0">
            <w:pPr>
              <w:spacing w:after="40" w:line="240" w:lineRule="auto"/>
            </w:pPr>
            <w:r>
              <w:rPr>
                <w:b w:val="0"/>
              </w:rPr>
              <w:t>忽略了未来收益的结算延迟。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05EBAD7C">
            <w:pPr>
              <w:spacing w:after="40" w:line="240" w:lineRule="auto"/>
            </w:pPr>
            <w:r>
              <w:rPr>
                <w:b w:val="0"/>
              </w:rPr>
              <w:t>标签成熟日期、purged split、embargo 和审计。</w:t>
            </w:r>
          </w:p>
        </w:tc>
      </w:tr>
      <w:tr w14:paraId="2999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02AB9E">
            <w:pPr>
              <w:spacing w:after="40" w:line="240" w:lineRule="auto"/>
            </w:pPr>
            <w:r>
              <w:rPr>
                <w:b w:val="0"/>
              </w:rPr>
              <w:t>毛收益高、净收益低</w:t>
            </w:r>
          </w:p>
        </w:tc>
        <w:tc>
          <w:tcPr>
            <w:tcW w:w="3118" w:type="dxa"/>
            <w:vAlign w:val="center"/>
          </w:tcPr>
          <w:p w14:paraId="40BD6471">
            <w:pPr>
              <w:spacing w:after="40" w:line="240" w:lineRule="auto"/>
            </w:pPr>
            <w:r>
              <w:rPr>
                <w:b w:val="0"/>
              </w:rPr>
              <w:t>换手和滑点过高。</w:t>
            </w:r>
          </w:p>
        </w:tc>
        <w:tc>
          <w:tcPr>
            <w:tcW w:w="3118" w:type="dxa"/>
            <w:vAlign w:val="center"/>
          </w:tcPr>
          <w:p w14:paraId="7841AE20">
            <w:pPr>
              <w:spacing w:after="40" w:line="240" w:lineRule="auto"/>
            </w:pPr>
            <w:r>
              <w:rPr>
                <w:b w:val="0"/>
              </w:rPr>
              <w:t>成本敏感训练、降低调仓频率、流动性约束。</w:t>
            </w:r>
          </w:p>
        </w:tc>
      </w:tr>
      <w:tr w14:paraId="797B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5E9E4AF">
            <w:pPr>
              <w:spacing w:after="40" w:line="240" w:lineRule="auto"/>
            </w:pPr>
            <w:r>
              <w:rPr>
                <w:b w:val="0"/>
              </w:rPr>
              <w:t>复杂模型不优于基线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37BA13F4">
            <w:pPr>
              <w:spacing w:after="40" w:line="240" w:lineRule="auto"/>
            </w:pPr>
            <w:r>
              <w:rPr>
                <w:b w:val="0"/>
              </w:rPr>
              <w:t>复杂度没有转化为有效信息。</w:t>
            </w:r>
          </w:p>
        </w:tc>
        <w:tc>
          <w:tcPr>
            <w:tcW w:w="3118" w:type="dxa"/>
            <w:shd w:val="clear" w:color="auto" w:fill="EAF2F8"/>
            <w:vAlign w:val="center"/>
          </w:tcPr>
          <w:p w14:paraId="621A47A0">
            <w:pPr>
              <w:spacing w:after="40" w:line="240" w:lineRule="auto"/>
            </w:pPr>
            <w:r>
              <w:rPr>
                <w:b w:val="0"/>
              </w:rPr>
              <w:t>保留简单模型作为正式结论，复杂模型只作为研究结果。</w:t>
            </w:r>
          </w:p>
        </w:tc>
      </w:tr>
    </w:tbl>
    <w:p w14:paraId="12D6FAFD">
      <w:pPr>
        <w:spacing w:after="0"/>
      </w:pPr>
    </w:p>
    <w:p w14:paraId="654E029D">
      <w:pPr>
        <w:pStyle w:val="3"/>
        <w:keepNext/>
      </w:pPr>
      <w:r>
        <w:t>23 研究伦理、局限性与可解释性</w:t>
      </w:r>
    </w:p>
    <w:p w14:paraId="4D62319A">
      <w:pPr>
        <w:pStyle w:val="19"/>
        <w:spacing w:line="307" w:lineRule="auto"/>
        <w:ind w:firstLine="420"/>
      </w:pPr>
      <w:r>
        <w:t>本方法的动态选择能力可能提高模型对历史环境的适应，但也增加了过拟合和解释难度。K-Means 簇是行为相似性描述，不等同于经济因果类别；MACoE/PACoE 分数是模型内部的预测工具，不应被解释为市场状态的唯一真实原因。模型输出仍然依赖数据质量、股票池定义、交易成本假设和预测周期。</w:t>
      </w:r>
    </w:p>
    <w:p w14:paraId="54793403">
      <w:pPr>
        <w:pStyle w:val="19"/>
        <w:spacing w:line="307" w:lineRule="auto"/>
        <w:ind w:firstLine="420"/>
      </w:pPr>
      <w:r>
        <w:t>当测试期市场结构发生明显变化时，训练期获得的状态模型和因子行为簇可能失效。因此正式研究报告需要披露测试期范围、市场制度变化、样本覆盖、失败因子比例、不可成交比例和所有重大配置。若结果只在单一股票池或单一预测周期有效，应明确限制外推。</w:t>
      </w:r>
    </w:p>
    <w:p w14:paraId="38A3C9D4">
      <w:pPr>
        <w:pStyle w:val="3"/>
        <w:keepNext/>
      </w:pPr>
      <w:r>
        <w:t>24 预期研究产物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268"/>
      </w:tblGrid>
      <w:tr w14:paraId="10A3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77F341F">
            <w:pPr>
              <w:spacing w:after="40" w:line="240" w:lineRule="auto"/>
            </w:pPr>
            <w:r>
              <w:rPr>
                <w:b/>
                <w:color w:val="FFFFFF"/>
              </w:rPr>
              <w:t>产物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49F48C2">
            <w:pPr>
              <w:spacing w:after="40" w:line="240" w:lineRule="auto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F35AD8B">
            <w:pPr>
              <w:spacing w:after="40" w:line="240" w:lineRule="auto"/>
            </w:pPr>
            <w:r>
              <w:rPr>
                <w:b/>
                <w:color w:val="FFFFFF"/>
              </w:rPr>
              <w:t>用途</w:t>
            </w:r>
          </w:p>
        </w:tc>
      </w:tr>
      <w:tr w14:paraId="30B3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D29723E">
            <w:pPr>
              <w:spacing w:after="40" w:line="240" w:lineRule="auto"/>
            </w:pPr>
            <w:r>
              <w:rPr>
                <w:b w:val="0"/>
              </w:rPr>
              <w:t>snapshot manifest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3260D503">
            <w:pPr>
              <w:spacing w:after="40" w:line="240" w:lineRule="auto"/>
            </w:pPr>
            <w:r>
              <w:rPr>
                <w:b w:val="0"/>
              </w:rPr>
              <w:t>输入文件、来源、字段、行数、哈希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6032DF08">
            <w:pPr>
              <w:spacing w:after="40" w:line="240" w:lineRule="auto"/>
            </w:pPr>
            <w:r>
              <w:rPr>
                <w:b w:val="0"/>
              </w:rPr>
              <w:t>数据审计和复现。</w:t>
            </w:r>
          </w:p>
        </w:tc>
      </w:tr>
      <w:tr w14:paraId="3D3C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61BA21">
            <w:pPr>
              <w:spacing w:after="40" w:line="240" w:lineRule="auto"/>
            </w:pPr>
            <w:r>
              <w:rPr>
                <w:b w:val="0"/>
              </w:rPr>
              <w:t>factor behavior</w:t>
            </w:r>
          </w:p>
        </w:tc>
        <w:tc>
          <w:tcPr>
            <w:tcW w:w="3969" w:type="dxa"/>
            <w:vAlign w:val="center"/>
          </w:tcPr>
          <w:p w14:paraId="4FF7B633">
            <w:pPr>
              <w:spacing w:after="40" w:line="240" w:lineRule="auto"/>
            </w:pPr>
            <w:r>
              <w:rPr>
                <w:b w:val="0"/>
              </w:rPr>
              <w:t>每个因子的多尺度行为序列和统计量</w:t>
            </w:r>
          </w:p>
        </w:tc>
        <w:tc>
          <w:tcPr>
            <w:tcW w:w="2268" w:type="dxa"/>
            <w:vAlign w:val="center"/>
          </w:tcPr>
          <w:p w14:paraId="575A28EE">
            <w:pPr>
              <w:spacing w:after="40" w:line="240" w:lineRule="auto"/>
            </w:pPr>
            <w:r>
              <w:rPr>
                <w:b w:val="0"/>
              </w:rPr>
              <w:t>编码、聚类和诊断。</w:t>
            </w:r>
          </w:p>
        </w:tc>
      </w:tr>
      <w:tr w14:paraId="5AF2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053F8279">
            <w:pPr>
              <w:spacing w:after="40" w:line="240" w:lineRule="auto"/>
            </w:pPr>
            <w:r>
              <w:rPr>
                <w:b w:val="0"/>
              </w:rPr>
              <w:t>cluster labels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09522805">
            <w:pPr>
              <w:spacing w:after="40" w:line="240" w:lineRule="auto"/>
            </w:pPr>
            <w:r>
              <w:rPr>
                <w:b w:val="0"/>
              </w:rPr>
              <w:t>因子簇标签、中心、距离和稳定性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1DB53D55">
            <w:pPr>
              <w:spacing w:after="40" w:line="240" w:lineRule="auto"/>
            </w:pPr>
            <w:r>
              <w:rPr>
                <w:b w:val="0"/>
              </w:rPr>
              <w:t>行为类别分析。</w:t>
            </w:r>
          </w:p>
        </w:tc>
      </w:tr>
      <w:tr w14:paraId="2178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DE5A4D">
            <w:pPr>
              <w:spacing w:after="40" w:line="240" w:lineRule="auto"/>
            </w:pPr>
            <w:r>
              <w:rPr>
                <w:b w:val="0"/>
              </w:rPr>
              <w:t>market states</w:t>
            </w:r>
          </w:p>
        </w:tc>
        <w:tc>
          <w:tcPr>
            <w:tcW w:w="3969" w:type="dxa"/>
            <w:vAlign w:val="center"/>
          </w:tcPr>
          <w:p w14:paraId="2F440289">
            <w:pPr>
              <w:spacing w:after="40" w:line="240" w:lineRule="auto"/>
            </w:pPr>
            <w:r>
              <w:rPr>
                <w:b w:val="0"/>
              </w:rPr>
              <w:t>日期、状态特征、状态标签和拟合边界</w:t>
            </w:r>
          </w:p>
        </w:tc>
        <w:tc>
          <w:tcPr>
            <w:tcW w:w="2268" w:type="dxa"/>
            <w:vAlign w:val="center"/>
          </w:tcPr>
          <w:p w14:paraId="78E4201D">
            <w:pPr>
              <w:spacing w:after="40" w:line="240" w:lineRule="auto"/>
            </w:pPr>
            <w:r>
              <w:rPr>
                <w:b w:val="0"/>
              </w:rPr>
              <w:t>市场状态路由。</w:t>
            </w:r>
          </w:p>
        </w:tc>
      </w:tr>
      <w:tr w14:paraId="21EF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175C205">
            <w:pPr>
              <w:spacing w:after="40" w:line="240" w:lineRule="auto"/>
            </w:pPr>
            <w:r>
              <w:rPr>
                <w:b w:val="0"/>
              </w:rPr>
              <w:t>router outputs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F9CAF2B">
            <w:pPr>
              <w:spacing w:after="40" w:line="240" w:lineRule="auto"/>
            </w:pPr>
            <w:r>
              <w:rPr>
                <w:b w:val="0"/>
              </w:rPr>
              <w:t>类别分数、因子分数、alpha、mask 和权重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09C77042">
            <w:pPr>
              <w:spacing w:after="40" w:line="240" w:lineRule="auto"/>
            </w:pPr>
            <w:r>
              <w:rPr>
                <w:b w:val="0"/>
              </w:rPr>
              <w:t>动态选择审计。</w:t>
            </w:r>
          </w:p>
        </w:tc>
      </w:tr>
      <w:tr w14:paraId="706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3517FE">
            <w:pPr>
              <w:spacing w:after="40" w:line="240" w:lineRule="auto"/>
            </w:pPr>
            <w:r>
              <w:rPr>
                <w:b w:val="0"/>
              </w:rPr>
              <w:t>trades</w:t>
            </w:r>
          </w:p>
        </w:tc>
        <w:tc>
          <w:tcPr>
            <w:tcW w:w="3969" w:type="dxa"/>
            <w:vAlign w:val="center"/>
          </w:tcPr>
          <w:p w14:paraId="02CAEBC0">
            <w:pPr>
              <w:spacing w:after="40" w:line="240" w:lineRule="auto"/>
            </w:pPr>
            <w:r>
              <w:rPr>
                <w:b w:val="0"/>
              </w:rPr>
              <w:t>信号、目标仓位、实际成交、未成交原因、成本</w:t>
            </w:r>
          </w:p>
        </w:tc>
        <w:tc>
          <w:tcPr>
            <w:tcW w:w="2268" w:type="dxa"/>
            <w:vAlign w:val="center"/>
          </w:tcPr>
          <w:p w14:paraId="27F9D717">
            <w:pPr>
              <w:spacing w:after="40" w:line="240" w:lineRule="auto"/>
            </w:pPr>
            <w:r>
              <w:rPr>
                <w:b w:val="0"/>
              </w:rPr>
              <w:t>回测复核。</w:t>
            </w:r>
          </w:p>
        </w:tc>
      </w:tr>
      <w:tr w14:paraId="6886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D370169">
            <w:pPr>
              <w:spacing w:after="40" w:line="240" w:lineRule="auto"/>
            </w:pPr>
            <w:r>
              <w:rPr>
                <w:b w:val="0"/>
              </w:rPr>
              <w:t>portfolio metrics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4DC5DAFE">
            <w:pPr>
              <w:spacing w:after="40" w:line="240" w:lineRule="auto"/>
            </w:pPr>
            <w:r>
              <w:rPr>
                <w:b w:val="0"/>
              </w:rPr>
              <w:t>毛收益、净收益、风险、换手、成本和状态条件指标</w:t>
            </w:r>
          </w:p>
        </w:tc>
        <w:tc>
          <w:tcPr>
            <w:tcW w:w="2268" w:type="dxa"/>
            <w:shd w:val="clear" w:color="auto" w:fill="EAF2F8"/>
            <w:vAlign w:val="center"/>
          </w:tcPr>
          <w:p w14:paraId="1B354051">
            <w:pPr>
              <w:spacing w:after="40" w:line="240" w:lineRule="auto"/>
            </w:pPr>
            <w:r>
              <w:rPr>
                <w:b w:val="0"/>
              </w:rPr>
              <w:t>最终实验报告。</w:t>
            </w:r>
          </w:p>
        </w:tc>
      </w:tr>
    </w:tbl>
    <w:p w14:paraId="7A02E15F">
      <w:pPr>
        <w:spacing w:after="0"/>
      </w:pPr>
    </w:p>
    <w:p w14:paraId="6DCF306A">
      <w:pPr>
        <w:pStyle w:val="3"/>
        <w:keepNext/>
      </w:pPr>
      <w:r>
        <w:t>25 总结</w:t>
      </w:r>
    </w:p>
    <w:p w14:paraId="1DB2383C">
      <w:pPr>
        <w:pStyle w:val="19"/>
        <w:spacing w:line="307" w:lineRule="auto"/>
        <w:ind w:firstLine="420"/>
      </w:pPr>
      <w:r>
        <w:t>本研究提出的完整逻辑是：先从原始行情真实计算逐因子值，再用多尺度预测指标和交易行为构造因子编码；在训练期用行为序列 K-Means 形成相似因子簇并压缩候选池；以过去 40 个交易日的技术、流动性、广度和情绪指标构造市场状态矩阵；通过 MACoE 获取市场引导分数，通过 PACoE 获取绩效和互补性分数；利用 Group-level Router 先选因子群，再由 Factor-level Router 选择具体因子；训练期以 Gumbel Top-k 探索动态子集，推理期使用确定性选择；最后把 Alpha 转换为股票组合，在下一交易时点执行并计入交易成本。</w:t>
      </w:r>
    </w:p>
    <w:p w14:paraId="1BFB8C25">
      <w:pPr>
        <w:pStyle w:val="19"/>
        <w:spacing w:line="307" w:lineRule="auto"/>
        <w:ind w:firstLine="420"/>
      </w:pPr>
      <w:r>
        <w:t>该框架的研究价值不在于模型名称或网络层数，而在于能否通过严格的时间边界、可审计数据、合理基线、成本后回测和消融实验证明动态组合确实利用了可泛化的信息。实际实施应遵循从基线到聚类、从简化路由到完整 MoE 的渐进顺序，任何复杂结构都必须接受样本外验证。</w:t>
      </w:r>
    </w:p>
    <w:p w14:paraId="04AB9DA9">
      <w:pPr>
        <w:pStyle w:val="3"/>
        <w:keepNext/>
      </w:pPr>
      <w:r>
        <w:t>附录 A：当前独立研究系统的对应关系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869"/>
        <w:gridCol w:w="2551"/>
      </w:tblGrid>
      <w:tr w14:paraId="5398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771BBAE4">
            <w:pPr>
              <w:spacing w:after="40" w:line="240" w:lineRule="auto"/>
            </w:pPr>
            <w:r>
              <w:rPr>
                <w:b/>
                <w:color w:val="FFFFFF"/>
              </w:rPr>
              <w:t>研究方法模块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06088BF">
            <w:pPr>
              <w:spacing w:after="40" w:line="240" w:lineRule="auto"/>
            </w:pPr>
            <w:r>
              <w:rPr>
                <w:b/>
                <w:color w:val="FFFFFF"/>
              </w:rPr>
              <w:t>独立系统对应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D0739E8">
            <w:pPr>
              <w:spacing w:after="40" w:line="240" w:lineRule="auto"/>
            </w:pPr>
            <w:r>
              <w:rPr>
                <w:b/>
                <w:color w:val="FFFFFF"/>
              </w:rPr>
              <w:t>当前状态</w:t>
            </w:r>
          </w:p>
        </w:tc>
      </w:tr>
      <w:tr w14:paraId="7E92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472E23A3">
            <w:pPr>
              <w:spacing w:after="40" w:line="240" w:lineRule="auto"/>
            </w:pPr>
            <w:r>
              <w:rPr>
                <w:b w:val="0"/>
              </w:rPr>
              <w:t>独立快照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65C1CBF2">
            <w:pPr>
              <w:spacing w:after="40" w:line="240" w:lineRule="auto"/>
            </w:pPr>
            <w:r>
              <w:rPr>
                <w:b w:val="0"/>
              </w:rPr>
              <w:t>research_data/snapshots/&lt;snapshot_id&gt;</w:t>
            </w:r>
          </w:p>
        </w:tc>
        <w:tc>
          <w:tcPr>
            <w:tcW w:w="2551" w:type="dxa"/>
            <w:shd w:val="clear" w:color="auto" w:fill="EAF2F8"/>
            <w:vAlign w:val="center"/>
          </w:tcPr>
          <w:p w14:paraId="7CA3F325">
            <w:pPr>
              <w:spacing w:after="40" w:line="240" w:lineRule="auto"/>
            </w:pPr>
            <w:r>
              <w:rPr>
                <w:b w:val="0"/>
              </w:rPr>
              <w:t>已实现</w:t>
            </w:r>
          </w:p>
        </w:tc>
      </w:tr>
      <w:tr w14:paraId="0466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3A09985">
            <w:pPr>
              <w:spacing w:after="40" w:line="240" w:lineRule="auto"/>
            </w:pPr>
            <w:r>
              <w:rPr>
                <w:b w:val="0"/>
              </w:rPr>
              <w:t>逐因子值</w:t>
            </w:r>
          </w:p>
        </w:tc>
        <w:tc>
          <w:tcPr>
            <w:tcW w:w="3402" w:type="dxa"/>
            <w:vAlign w:val="center"/>
          </w:tcPr>
          <w:p w14:paraId="0125227D">
            <w:pPr>
              <w:spacing w:after="40" w:line="240" w:lineRule="auto"/>
            </w:pPr>
            <w:r>
              <w:rPr>
                <w:b w:val="0"/>
              </w:rPr>
              <w:t>research_runs/values_*/factor_values</w:t>
            </w:r>
          </w:p>
        </w:tc>
        <w:tc>
          <w:tcPr>
            <w:tcW w:w="2551" w:type="dxa"/>
            <w:vAlign w:val="center"/>
          </w:tcPr>
          <w:p w14:paraId="3A9EB4CA">
            <w:pPr>
              <w:spacing w:after="40" w:line="240" w:lineRule="auto"/>
            </w:pPr>
            <w:r>
              <w:rPr>
                <w:b w:val="0"/>
              </w:rPr>
              <w:t>已实现，1,264 个因子可计算</w:t>
            </w:r>
          </w:p>
        </w:tc>
      </w:tr>
      <w:tr w14:paraId="15A2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42ED4471">
            <w:pPr>
              <w:spacing w:after="40" w:line="240" w:lineRule="auto"/>
            </w:pPr>
            <w:r>
              <w:rPr>
                <w:b w:val="0"/>
              </w:rPr>
              <w:t>市场状态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5FE923B1">
            <w:pPr>
              <w:spacing w:after="40" w:line="240" w:lineRule="auto"/>
            </w:pPr>
            <w:r>
              <w:rPr>
                <w:b w:val="0"/>
              </w:rPr>
              <w:t>research_system states</w:t>
            </w:r>
          </w:p>
        </w:tc>
        <w:tc>
          <w:tcPr>
            <w:tcW w:w="2551" w:type="dxa"/>
            <w:shd w:val="clear" w:color="auto" w:fill="EAF2F8"/>
            <w:vAlign w:val="center"/>
          </w:tcPr>
          <w:p w14:paraId="2EE5CB01">
            <w:pPr>
              <w:spacing w:after="40" w:line="240" w:lineRule="auto"/>
            </w:pPr>
            <w:r>
              <w:rPr>
                <w:b w:val="0"/>
              </w:rPr>
              <w:t>已实现规则版</w:t>
            </w:r>
          </w:p>
        </w:tc>
      </w:tr>
      <w:tr w14:paraId="1D4B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92325AF">
            <w:pPr>
              <w:spacing w:after="40" w:line="240" w:lineRule="auto"/>
            </w:pPr>
            <w:r>
              <w:rPr>
                <w:b w:val="0"/>
              </w:rPr>
              <w:t>条件评价</w:t>
            </w:r>
          </w:p>
        </w:tc>
        <w:tc>
          <w:tcPr>
            <w:tcW w:w="3402" w:type="dxa"/>
            <w:vAlign w:val="center"/>
          </w:tcPr>
          <w:p w14:paraId="03A55BA5">
            <w:pPr>
              <w:spacing w:after="40" w:line="240" w:lineRule="auto"/>
            </w:pPr>
            <w:r>
              <w:rPr>
                <w:b w:val="0"/>
              </w:rPr>
              <w:t>research_system conditional</w:t>
            </w:r>
          </w:p>
        </w:tc>
        <w:tc>
          <w:tcPr>
            <w:tcW w:w="2551" w:type="dxa"/>
            <w:vAlign w:val="center"/>
          </w:tcPr>
          <w:p w14:paraId="193E1800">
            <w:pPr>
              <w:spacing w:after="40" w:line="240" w:lineRule="auto"/>
            </w:pPr>
            <w:r>
              <w:rPr>
                <w:b w:val="0"/>
              </w:rPr>
              <w:t>已实现 IC、Rank IC、ICIR 和时间切分</w:t>
            </w:r>
          </w:p>
        </w:tc>
      </w:tr>
      <w:tr w14:paraId="4A45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61CD31CB">
            <w:pPr>
              <w:spacing w:after="40" w:line="240" w:lineRule="auto"/>
            </w:pPr>
            <w:r>
              <w:rPr>
                <w:b w:val="0"/>
              </w:rPr>
              <w:t>基础选择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3293AAD6">
            <w:pPr>
              <w:spacing w:after="40" w:line="240" w:lineRule="auto"/>
            </w:pPr>
            <w:r>
              <w:rPr>
                <w:b w:val="0"/>
              </w:rPr>
              <w:t>research_system select</w:t>
            </w:r>
          </w:p>
        </w:tc>
        <w:tc>
          <w:tcPr>
            <w:tcW w:w="2551" w:type="dxa"/>
            <w:shd w:val="clear" w:color="auto" w:fill="EAF2F8"/>
            <w:vAlign w:val="center"/>
          </w:tcPr>
          <w:p w14:paraId="3F0069C2">
            <w:pPr>
              <w:spacing w:after="40" w:line="240" w:lineRule="auto"/>
            </w:pPr>
            <w:r>
              <w:rPr>
                <w:b w:val="0"/>
              </w:rPr>
              <w:t>已实现类别评分、因子排序和等权组合</w:t>
            </w:r>
          </w:p>
        </w:tc>
      </w:tr>
      <w:tr w14:paraId="37D7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E7C5EC1">
            <w:pPr>
              <w:spacing w:after="40" w:line="240" w:lineRule="auto"/>
            </w:pPr>
            <w:r>
              <w:rPr>
                <w:b w:val="0"/>
              </w:rPr>
              <w:t>行为 K-Means</w:t>
            </w:r>
          </w:p>
        </w:tc>
        <w:tc>
          <w:tcPr>
            <w:tcW w:w="3402" w:type="dxa"/>
            <w:vAlign w:val="center"/>
          </w:tcPr>
          <w:p w14:paraId="486F24DC">
            <w:pPr>
              <w:spacing w:after="40" w:line="240" w:lineRule="auto"/>
            </w:pPr>
            <w:r>
              <w:rPr>
                <w:b w:val="0"/>
              </w:rPr>
              <w:t>待新增 cluster 模块</w:t>
            </w:r>
          </w:p>
        </w:tc>
        <w:tc>
          <w:tcPr>
            <w:tcW w:w="2551" w:type="dxa"/>
            <w:vAlign w:val="center"/>
          </w:tcPr>
          <w:p w14:paraId="1CBCBD18">
            <w:pPr>
              <w:spacing w:after="40" w:line="240" w:lineRule="auto"/>
            </w:pPr>
            <w:r>
              <w:rPr>
                <w:b w:val="0"/>
              </w:rPr>
              <w:t>本方案定义，待实现</w:t>
            </w:r>
          </w:p>
        </w:tc>
      </w:tr>
      <w:tr w14:paraId="1E4A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AF2F8"/>
            <w:vAlign w:val="center"/>
          </w:tcPr>
          <w:p w14:paraId="472429D3">
            <w:pPr>
              <w:spacing w:after="40" w:line="240" w:lineRule="auto"/>
            </w:pPr>
            <w:r>
              <w:rPr>
                <w:b w:val="0"/>
              </w:rPr>
              <w:t>MACoE/PACoE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17526379">
            <w:pPr>
              <w:spacing w:after="40" w:line="240" w:lineRule="auto"/>
            </w:pPr>
            <w:r>
              <w:rPr>
                <w:b w:val="0"/>
              </w:rPr>
              <w:t>待新增模型模块</w:t>
            </w:r>
          </w:p>
        </w:tc>
        <w:tc>
          <w:tcPr>
            <w:tcW w:w="2551" w:type="dxa"/>
            <w:shd w:val="clear" w:color="auto" w:fill="EAF2F8"/>
            <w:vAlign w:val="center"/>
          </w:tcPr>
          <w:p w14:paraId="6D09440B">
            <w:pPr>
              <w:spacing w:after="40" w:line="240" w:lineRule="auto"/>
            </w:pPr>
            <w:r>
              <w:rPr>
                <w:b w:val="0"/>
              </w:rPr>
              <w:t>本方案定义，待实验实现</w:t>
            </w:r>
          </w:p>
        </w:tc>
      </w:tr>
      <w:tr w14:paraId="6B422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4AA38DA">
            <w:pPr>
              <w:spacing w:after="40" w:line="240" w:lineRule="auto"/>
            </w:pPr>
            <w:r>
              <w:rPr>
                <w:b w:val="0"/>
              </w:rPr>
              <w:t>成本样本外回测</w:t>
            </w:r>
          </w:p>
        </w:tc>
        <w:tc>
          <w:tcPr>
            <w:tcW w:w="3402" w:type="dxa"/>
            <w:vAlign w:val="center"/>
          </w:tcPr>
          <w:p w14:paraId="72FBC0F3">
            <w:pPr>
              <w:spacing w:after="40" w:line="240" w:lineRule="auto"/>
            </w:pPr>
            <w:r>
              <w:rPr>
                <w:b w:val="0"/>
              </w:rPr>
              <w:t>待新增 portfolio/backtest 模块</w:t>
            </w:r>
          </w:p>
        </w:tc>
        <w:tc>
          <w:tcPr>
            <w:tcW w:w="2551" w:type="dxa"/>
            <w:vAlign w:val="center"/>
          </w:tcPr>
          <w:p w14:paraId="7A85A93D">
            <w:pPr>
              <w:spacing w:after="40" w:line="240" w:lineRule="auto"/>
            </w:pPr>
            <w:r>
              <w:rPr>
                <w:b w:val="0"/>
              </w:rPr>
              <w:t>本方案定义，待实现</w:t>
            </w:r>
          </w:p>
        </w:tc>
      </w:tr>
    </w:tbl>
    <w:p w14:paraId="225FECA9">
      <w:pPr>
        <w:spacing w:after="0"/>
      </w:pPr>
    </w:p>
    <w:p w14:paraId="7BFF285A">
      <w:pPr>
        <w:pStyle w:val="3"/>
        <w:keepNext/>
      </w:pPr>
      <w:r>
        <w:t>附录 B：实验报告最低模板</w:t>
      </w:r>
    </w:p>
    <w:p w14:paraId="7A247A1F">
      <w:pPr>
        <w:pStyle w:val="16"/>
        <w:spacing w:line="276" w:lineRule="auto"/>
      </w:pPr>
      <w:r>
        <w:t>数据：snapshot_id、股票池、日期范围、因子数量、有效覆盖率。</w:t>
      </w:r>
    </w:p>
    <w:p w14:paraId="56D85622">
      <w:pPr>
        <w:pStyle w:val="16"/>
        <w:spacing w:line="276" w:lineRule="auto"/>
      </w:pPr>
      <w:r>
        <w:t>标签：预测周期、信号时点、执行时点、标签成熟和 embargo 规则。</w:t>
      </w:r>
    </w:p>
    <w:p w14:paraId="0DA0F43F">
      <w:pPr>
        <w:pStyle w:val="16"/>
        <w:spacing w:line="276" w:lineRule="auto"/>
      </w:pPr>
      <w:r>
        <w:t>聚类：行为特征、K、距离、随机种子、簇规模和稳定性。</w:t>
      </w:r>
    </w:p>
    <w:p w14:paraId="48FDC80C">
      <w:pPr>
        <w:pStyle w:val="16"/>
        <w:spacing w:line="276" w:lineRule="auto"/>
      </w:pPr>
      <w:r>
        <w:t>模型：MACoE/PACoE 结构、专家数量、链深、Top-k、损失权重。</w:t>
      </w:r>
    </w:p>
    <w:p w14:paraId="673E606B">
      <w:pPr>
        <w:pStyle w:val="16"/>
        <w:spacing w:line="276" w:lineRule="auto"/>
      </w:pPr>
      <w:r>
        <w:t>回测：手续费、滑点、冲击成本、停牌和涨跌停处理。</w:t>
      </w:r>
    </w:p>
    <w:p w14:paraId="31EDE65B">
      <w:pPr>
        <w:pStyle w:val="16"/>
        <w:spacing w:line="276" w:lineRule="auto"/>
      </w:pPr>
      <w:r>
        <w:t>结果：Train/Valid/Test 的因子指标、组合指标、状态条件指标。</w:t>
      </w:r>
    </w:p>
    <w:p w14:paraId="22E6B1EF">
      <w:pPr>
        <w:pStyle w:val="16"/>
        <w:spacing w:line="276" w:lineRule="auto"/>
      </w:pPr>
      <w:r>
        <w:t>稳健性：基线、消融、成本敏感性、滚动窗口和随机种子分析。</w:t>
      </w:r>
    </w:p>
    <w:p w14:paraId="6BF5E56F">
      <w:pPr>
        <w:pStyle w:val="16"/>
        <w:spacing w:line="276" w:lineRule="auto"/>
      </w:pPr>
      <w:r>
        <w:t>限制：失败因子、缺失率、不可交易比例、状态不平衡和结论适用范围。</w:t>
      </w:r>
    </w:p>
    <w:sectPr>
      <w:headerReference r:id="rId5" w:type="default"/>
      <w:footerReference r:id="rId6" w:type="default"/>
      <w:pgSz w:w="12240" w:h="15840"/>
      <w:pgMar w:top="1247" w:right="1247" w:bottom="1134" w:left="141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458D6">
    <w:pPr>
      <w:pStyle w:val="24"/>
      <w:jc w:val="center"/>
    </w:pPr>
    <w:r>
      <w:rPr>
        <w:color w:val="808080"/>
        <w:sz w:val="16"/>
      </w:rPr>
      <w:t>研究性方法文档 | 版本：完善版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9BA27">
    <w:pPr>
      <w:pStyle w:val="25"/>
      <w:jc w:val="right"/>
    </w:pPr>
    <w:r>
      <w:rPr>
        <w:color w:val="808080"/>
        <w:sz w:val="16"/>
      </w:rPr>
      <w:t>市场状态感知的多尺度因子表征与动态组合研究方案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2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等线" w:hAnsi="等线" w:eastAsia="等线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"/>
    <w:uiPriority w:val="0"/>
    <w:pPr>
      <w:spacing w:after="200" w:line="276" w:lineRule="auto"/>
    </w:pPr>
    <w:rPr>
      <w:rFonts w:ascii="Cambria Math" w:hAnsi="Cambria Math" w:eastAsia="等线" w:cstheme="minorBidi"/>
      <w:i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1566</Words>
  <Characters>1832</Characters>
  <Lines>0</Lines>
  <Paragraphs>0</Paragraphs>
  <TotalTime>0</TotalTime>
  <ScaleCrop>false</ScaleCrop>
  <LinksUpToDate>false</LinksUpToDate>
  <CharactersWithSpaces>1873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Mabo.</cp:lastModifiedBy>
  <dcterms:modified xsi:type="dcterms:W3CDTF">2026-09-02T02:02:00Z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eyJoZGlkIjoiODBiMzllNGFjYzVmMTNiY2QyOGUxYjZjMWMzODQ2NTciLCJ1c2VySWQiOiI3MzAzODgzNjYifQ==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A05AAD7A1AD54B36A031E172E465466F_12</vt:lpwstr>
  </property>
</Properties>
</file>