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8164C">
      <w:pPr>
        <w:keepNext/>
        <w:keepLines/>
        <w:spacing w:before="100" w:beforeAutospacing="1" w:after="100" w:afterAutospacing="1"/>
        <w:jc w:val="center"/>
        <w:outlineLvl w:val="0"/>
        <w:rPr>
          <w:kern w:val="44"/>
          <w:sz w:val="44"/>
          <w:szCs w:val="44"/>
        </w:rPr>
      </w:pPr>
      <w:r>
        <w:rPr>
          <w:rFonts w:hint="eastAsia"/>
          <w:b/>
          <w:sz w:val="36"/>
        </w:rPr>
        <w:t>淘宝笔记本电脑市场数据采集与可视化分析</w:t>
      </w:r>
    </w:p>
    <w:p w14:paraId="6201BBA7">
      <w:pPr>
        <w:jc w:val="center"/>
      </w:pPr>
      <w:r>
        <w:rPr>
          <w:rFonts w:hint="eastAsia"/>
          <w:sz w:val="21"/>
        </w:rPr>
        <w:t>端到端数据分析项目 | 数据采集 · 清洗 · 可视化 · 业务洞察</w:t>
      </w:r>
    </w:p>
    <w:p w14:paraId="440CF3CD">
      <w:pPr>
        <w:keepNext/>
        <w:keepLines/>
        <w:spacing w:before="100" w:beforeAutospacing="1" w:after="100" w:afterAutospacing="1"/>
        <w:outlineLvl w:val="1"/>
        <w:rPr>
          <w:sz w:val="32"/>
          <w:szCs w:val="32"/>
        </w:rPr>
      </w:pPr>
      <w:r>
        <w:rPr>
          <w:rFonts w:hint="eastAsia" w:ascii="微软雅黑" w:hAnsi="微软雅黑" w:eastAsia="微软雅黑" w:cs="微软雅黑"/>
          <w:b/>
          <w:sz w:val="28"/>
        </w:rPr>
        <w:t>项目概述</w:t>
      </w:r>
    </w:p>
    <w:p w14:paraId="19B4173E">
      <w:r>
        <w:rPr>
          <w:rFonts w:hint="eastAsia" w:ascii="微软雅黑" w:hAnsi="微软雅黑" w:eastAsia="微软雅黑" w:cs="微软雅黑"/>
          <w:sz w:val="21"/>
        </w:rPr>
        <w:t>本项目对淘宝平台在售笔记本电脑商品数据进行系统采集与多维度分析。通过自动化采集技术获取4800条原始商品数据，经清洗后保留3381条有效样本，从品牌竞争格局、品类偏好、价格带结构、产地分布、用户关注热点五个维度进行市场扫描，提炼出影响消费者决策的关键因子，为品牌方和运营侧提供数据驱动的决策参考。</w:t>
      </w:r>
    </w:p>
    <w:p w14:paraId="04C6FD11">
      <w:pPr>
        <w:keepNext/>
        <w:keepLines/>
        <w:spacing w:before="100" w:beforeAutospacing="1" w:after="100" w:afterAutospacing="1"/>
        <w:outlineLvl w:val="1"/>
        <w:rPr>
          <w:sz w:val="32"/>
          <w:szCs w:val="32"/>
        </w:rPr>
      </w:pPr>
      <w:r>
        <w:rPr>
          <w:rFonts w:hint="eastAsia" w:ascii="微软雅黑" w:hAnsi="微软雅黑" w:eastAsia="微软雅黑" w:cs="微软雅黑"/>
          <w:b/>
          <w:sz w:val="28"/>
        </w:rPr>
        <w:t>核心发现</w:t>
      </w:r>
    </w:p>
    <w:p w14:paraId="78BD7994">
      <w:pPr>
        <w:numPr>
          <w:ilvl w:val="0"/>
          <w:numId w:val="1"/>
        </w:numPr>
      </w:pPr>
      <w:r>
        <w:rPr>
          <w:rFonts w:hint="eastAsia" w:ascii="微软雅黑" w:hAnsi="微软雅黑" w:eastAsia="微软雅黑" w:cs="微软雅黑"/>
          <w:sz w:val="21"/>
        </w:rPr>
        <w:t xml:space="preserve">联想品牌以 </w:t>
      </w:r>
      <w:r>
        <w:rPr>
          <w:rFonts w:ascii="微软雅黑" w:hAnsi="微软雅黑" w:eastAsia="微软雅黑" w:cs="微软雅黑"/>
          <w:b/>
          <w:sz w:val="21"/>
        </w:rPr>
        <w:t>35%</w:t>
      </w:r>
      <w:r>
        <w:rPr>
          <w:rFonts w:hint="eastAsia" w:ascii="微软雅黑" w:hAnsi="微软雅黑" w:eastAsia="微软雅黑" w:cs="微软雅黑"/>
          <w:sz w:val="21"/>
        </w:rPr>
        <w:t xml:space="preserve"> 市占率领跑市场，华为、惠普紧随其后</w:t>
      </w:r>
    </w:p>
    <w:p w14:paraId="5C627784">
      <w:pPr>
        <w:numPr>
          <w:ilvl w:val="0"/>
          <w:numId w:val="1"/>
        </w:numPr>
      </w:pPr>
      <w:r>
        <w:rPr>
          <w:rFonts w:hint="eastAsia" w:ascii="微软雅黑" w:hAnsi="微软雅黑" w:eastAsia="微软雅黑" w:cs="微软雅黑"/>
          <w:b/>
          <w:sz w:val="21"/>
        </w:rPr>
        <w:t>3000-5000元</w:t>
      </w:r>
      <w:r>
        <w:rPr>
          <w:rFonts w:hint="eastAsia" w:ascii="微软雅黑" w:hAnsi="微软雅黑" w:eastAsia="微软雅黑" w:cs="微软雅黑"/>
          <w:sz w:val="21"/>
        </w:rPr>
        <w:t xml:space="preserve"> 价格带贡献约 </w:t>
      </w:r>
      <w:r>
        <w:rPr>
          <w:rFonts w:ascii="微软雅黑" w:hAnsi="微软雅黑" w:eastAsia="微软雅黑" w:cs="微软雅黑"/>
          <w:b/>
          <w:sz w:val="21"/>
        </w:rPr>
        <w:t>60%</w:t>
      </w:r>
      <w:r>
        <w:rPr>
          <w:rFonts w:hint="eastAsia" w:ascii="微软雅黑" w:hAnsi="微软雅黑" w:eastAsia="微软雅黑" w:cs="微软雅黑"/>
          <w:sz w:val="21"/>
        </w:rPr>
        <w:t xml:space="preserve"> 销量，为绝对主力消费区间</w:t>
      </w:r>
    </w:p>
    <w:p w14:paraId="4D08017B">
      <w:pPr>
        <w:numPr>
          <w:ilvl w:val="0"/>
          <w:numId w:val="1"/>
        </w:numPr>
      </w:pPr>
      <w:r>
        <w:rPr>
          <w:rFonts w:hint="eastAsia" w:ascii="微软雅黑" w:hAnsi="微软雅黑" w:eastAsia="微软雅黑" w:cs="微软雅黑"/>
          <w:sz w:val="21"/>
        </w:rPr>
        <w:t xml:space="preserve">游戏本占据 </w:t>
      </w:r>
      <w:r>
        <w:rPr>
          <w:rFonts w:ascii="微软雅黑" w:hAnsi="微软雅黑" w:eastAsia="微软雅黑" w:cs="微软雅黑"/>
          <w:b/>
          <w:sz w:val="21"/>
        </w:rPr>
        <w:t>68.2%</w:t>
      </w:r>
      <w:r>
        <w:rPr>
          <w:rFonts w:hint="eastAsia" w:ascii="微软雅黑" w:hAnsi="微软雅黑" w:eastAsia="微软雅黑" w:cs="微软雅黑"/>
          <w:sz w:val="21"/>
        </w:rPr>
        <w:t xml:space="preserve"> 市场份额，高性能需求持续增长</w:t>
      </w:r>
    </w:p>
    <w:p w14:paraId="429FA727">
      <w:pPr>
        <w:numPr>
          <w:ilvl w:val="0"/>
          <w:numId w:val="1"/>
        </w:numPr>
      </w:pPr>
      <w:r>
        <w:rPr>
          <w:rFonts w:hint="eastAsia" w:ascii="微软雅黑" w:hAnsi="微软雅黑" w:eastAsia="微软雅黑" w:cs="微软雅黑"/>
          <w:sz w:val="21"/>
        </w:rPr>
        <w:t xml:space="preserve">提炼 </w:t>
      </w:r>
      <w:r>
        <w:rPr>
          <w:rFonts w:hint="eastAsia" w:ascii="微软雅黑" w:hAnsi="微软雅黑" w:eastAsia="微软雅黑" w:cs="微软雅黑"/>
          <w:b/>
          <w:sz w:val="21"/>
        </w:rPr>
        <w:t>三大消费决策因子</w:t>
      </w:r>
      <w:r>
        <w:rPr>
          <w:rFonts w:hint="eastAsia" w:ascii="微软雅黑" w:hAnsi="微软雅黑" w:eastAsia="微软雅黑" w:cs="微软雅黑"/>
          <w:sz w:val="21"/>
        </w:rPr>
        <w:t>：品牌力、价格敏感度、配置梯度</w:t>
      </w:r>
    </w:p>
    <w:p w14:paraId="510ECF80">
      <w:pPr>
        <w:keepNext/>
        <w:keepLines/>
        <w:spacing w:before="100" w:beforeAutospacing="1" w:after="100" w:afterAutospacing="1"/>
        <w:outlineLvl w:val="1"/>
        <w:rPr>
          <w:sz w:val="32"/>
          <w:szCs w:val="32"/>
        </w:rPr>
      </w:pPr>
      <w:r>
        <w:rPr>
          <w:rFonts w:hint="eastAsia" w:ascii="微软雅黑" w:hAnsi="微软雅黑" w:eastAsia="微软雅黑" w:cs="微软雅黑"/>
          <w:b/>
          <w:sz w:val="28"/>
        </w:rPr>
        <w:t>数据采集</w:t>
      </w:r>
    </w:p>
    <w:p w14:paraId="5A123FA0">
      <w:r>
        <w:rPr>
          <w:rFonts w:hint="eastAsia" w:ascii="微软雅黑" w:hAnsi="微软雅黑" w:eastAsia="微软雅黑" w:cs="微软雅黑"/>
          <w:sz w:val="21"/>
        </w:rPr>
        <w:t>基于 DrissionPage 自动化框架构建淘宝商品数据采集管道，实现浏览器行为模拟与网络请求监听，从 API 响应中解析 JSON 格式商品数据。采集管道包含反爬策略处理（滑块验证突破、请求重试机制），最终以 CSV 格式存储结构化数据。</w:t>
      </w:r>
    </w:p>
    <w:tbl>
      <w:tblPr>
        <w:tblStyle w:val="2"/>
        <w:tblW w:w="0" w:type="auto"/>
        <w:jc w:val="center"/>
        <w:tblBorders>
          <w:top w:val="single" w:color="2B579A" w:sz="6" w:space="0"/>
          <w:left w:val="single" w:color="2B579A" w:sz="6" w:space="0"/>
          <w:bottom w:val="single" w:color="2B579A" w:sz="6" w:space="0"/>
          <w:right w:val="single" w:color="2B579A" w:sz="6" w:space="0"/>
          <w:insideH w:val="single" w:color="CBCDD1" w:sz="6" w:space="0"/>
          <w:insideV w:val="single" w:color="CBCDD1" w:sz="6" w:space="0"/>
        </w:tblBorders>
        <w:tblLayout w:type="autofit"/>
        <w:tblCellMar>
          <w:top w:w="15" w:type="dxa"/>
          <w:left w:w="15" w:type="dxa"/>
          <w:bottom w:w="15" w:type="dxa"/>
          <w:right w:w="15" w:type="dxa"/>
        </w:tblCellMar>
      </w:tblPr>
      <w:tblGrid>
        <w:gridCol w:w="1273"/>
        <w:gridCol w:w="3432"/>
      </w:tblGrid>
      <w:tr w14:paraId="4E324E8F">
        <w:tblPrEx>
          <w:tblBorders>
            <w:top w:val="single" w:color="2B579A" w:sz="6" w:space="0"/>
            <w:left w:val="single" w:color="2B579A" w:sz="6" w:space="0"/>
            <w:bottom w:val="single" w:color="2B579A" w:sz="6" w:space="0"/>
            <w:right w:val="single" w:color="2B579A"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1273" w:type="dxa"/>
            <w:tcBorders>
              <w:top w:val="single" w:color="9BBB59" w:sz="12" w:space="0"/>
              <w:left w:val="nil"/>
              <w:bottom w:val="single" w:color="9BBB59" w:sz="4" w:space="0"/>
              <w:right w:val="nil"/>
              <w:tl2br w:val="nil"/>
            </w:tcBorders>
            <w:shd w:val="clear" w:color="auto" w:fill="FFFFFF"/>
            <w:vAlign w:val="center"/>
          </w:tcPr>
          <w:p w14:paraId="290C9671">
            <w:pPr>
              <w:jc w:val="center"/>
              <w:rPr>
                <w:rFonts w:hint="eastAsia" w:ascii="微软雅黑" w:hAnsi="微软雅黑" w:eastAsia="微软雅黑" w:cs="微软雅黑"/>
                <w:b/>
                <w:bCs/>
                <w:color w:val="000000"/>
                <w:sz w:val="20"/>
              </w:rPr>
            </w:pPr>
            <w:r>
              <w:rPr>
                <w:rFonts w:hint="eastAsia" w:ascii="微软雅黑" w:hAnsi="微软雅黑" w:eastAsia="微软雅黑" w:cs="微软雅黑"/>
                <w:b/>
                <w:bCs/>
                <w:color w:val="000000"/>
                <w:sz w:val="20"/>
              </w:rPr>
              <w:t>采集字段</w:t>
            </w:r>
          </w:p>
        </w:tc>
        <w:tc>
          <w:tcPr>
            <w:tcW w:w="3432" w:type="dxa"/>
            <w:tcBorders>
              <w:top w:val="single" w:color="9BBB59" w:sz="12" w:space="0"/>
              <w:left w:val="nil"/>
              <w:bottom w:val="single" w:color="9BBB59" w:sz="4" w:space="0"/>
              <w:right w:val="nil"/>
            </w:tcBorders>
            <w:shd w:val="clear" w:color="auto" w:fill="FFFFFF"/>
          </w:tcPr>
          <w:p w14:paraId="77AD66E6">
            <w:pPr>
              <w:ind w:firstLine="200" w:firstLineChars="100"/>
              <w:jc w:val="both"/>
              <w:rPr>
                <w:rFonts w:hint="eastAsia" w:ascii="微软雅黑" w:hAnsi="微软雅黑" w:eastAsia="微软雅黑" w:cs="微软雅黑"/>
                <w:b/>
                <w:bCs/>
                <w:color w:val="000000"/>
                <w:sz w:val="20"/>
              </w:rPr>
            </w:pPr>
            <w:r>
              <w:rPr>
                <w:rFonts w:hint="eastAsia" w:ascii="微软雅黑" w:hAnsi="微软雅黑" w:eastAsia="微软雅黑" w:cs="微软雅黑"/>
                <w:b/>
                <w:bCs/>
                <w:color w:val="000000"/>
                <w:sz w:val="20"/>
              </w:rPr>
              <w:t>说明</w:t>
            </w:r>
          </w:p>
        </w:tc>
      </w:tr>
      <w:tr w14:paraId="28712572">
        <w:tblPrEx>
          <w:tblBorders>
            <w:top w:val="single" w:color="2B579A" w:sz="6" w:space="0"/>
            <w:left w:val="single" w:color="2B579A" w:sz="6" w:space="0"/>
            <w:bottom w:val="single" w:color="2B579A" w:sz="6" w:space="0"/>
            <w:right w:val="single" w:color="2B579A" w:sz="6" w:space="0"/>
            <w:insideH w:val="single" w:color="CBCDD1" w:sz="6" w:space="0"/>
            <w:insideV w:val="single" w:color="CBCDD1" w:sz="6" w:space="0"/>
          </w:tblBorders>
          <w:tblCellMar>
            <w:top w:w="15" w:type="dxa"/>
            <w:left w:w="15" w:type="dxa"/>
            <w:bottom w:w="15" w:type="dxa"/>
            <w:right w:w="15" w:type="dxa"/>
          </w:tblCellMar>
        </w:tblPrEx>
        <w:trPr>
          <w:jc w:val="center"/>
        </w:trPr>
        <w:tc>
          <w:tcPr>
            <w:tcW w:w="1273" w:type="dxa"/>
            <w:tcBorders>
              <w:top w:val="single" w:color="9BBB59" w:sz="4" w:space="0"/>
              <w:left w:val="nil"/>
              <w:bottom w:val="nil"/>
              <w:right w:val="nil"/>
            </w:tcBorders>
            <w:shd w:val="clear" w:color="auto" w:fill="FFFFFF"/>
            <w:vAlign w:val="center"/>
          </w:tcPr>
          <w:p w14:paraId="300455C6">
            <w:pPr>
              <w:jc w:val="center"/>
              <w:rPr>
                <w:b w:val="0"/>
                <w:color w:val="000000"/>
              </w:rPr>
            </w:pPr>
            <w:r>
              <w:rPr>
                <w:rFonts w:hint="eastAsia" w:ascii="微软雅黑" w:hAnsi="微软雅黑" w:eastAsia="微软雅黑" w:cs="微软雅黑"/>
                <w:b w:val="0"/>
                <w:color w:val="000000"/>
                <w:sz w:val="20"/>
              </w:rPr>
              <w:t>商品标题</w:t>
            </w:r>
          </w:p>
        </w:tc>
        <w:tc>
          <w:tcPr>
            <w:tcW w:w="3432" w:type="dxa"/>
            <w:tcBorders>
              <w:top w:val="single" w:color="9BBB59" w:sz="4" w:space="0"/>
              <w:left w:val="nil"/>
              <w:bottom w:val="nil"/>
              <w:right w:val="nil"/>
            </w:tcBorders>
            <w:shd w:val="clear" w:color="auto" w:fill="FFFFFF"/>
          </w:tcPr>
          <w:p w14:paraId="0D7BF552">
            <w:pPr>
              <w:ind w:firstLine="200" w:firstLineChars="100"/>
              <w:rPr>
                <w:b w:val="0"/>
                <w:color w:val="000000"/>
              </w:rPr>
            </w:pPr>
            <w:r>
              <w:rPr>
                <w:rFonts w:hint="eastAsia" w:ascii="微软雅黑" w:hAnsi="微软雅黑" w:eastAsia="微软雅黑" w:cs="微软雅黑"/>
                <w:b w:val="0"/>
                <w:color w:val="000000"/>
                <w:sz w:val="20"/>
              </w:rPr>
              <w:t>用于文本分析与词云生成</w:t>
            </w:r>
          </w:p>
        </w:tc>
      </w:tr>
      <w:tr w14:paraId="119C7964">
        <w:tblPrEx>
          <w:tblBorders>
            <w:top w:val="single" w:color="2B579A" w:sz="6" w:space="0"/>
            <w:left w:val="single" w:color="2B579A" w:sz="6" w:space="0"/>
            <w:bottom w:val="single" w:color="2B579A" w:sz="6" w:space="0"/>
            <w:right w:val="single" w:color="2B579A" w:sz="6" w:space="0"/>
            <w:insideH w:val="single" w:color="CBCDD1" w:sz="6" w:space="0"/>
            <w:insideV w:val="single" w:color="CBCDD1" w:sz="6" w:space="0"/>
          </w:tblBorders>
          <w:tblCellMar>
            <w:top w:w="15" w:type="dxa"/>
            <w:left w:w="15" w:type="dxa"/>
            <w:bottom w:w="15" w:type="dxa"/>
            <w:right w:w="15" w:type="dxa"/>
          </w:tblCellMar>
        </w:tblPrEx>
        <w:trPr>
          <w:jc w:val="center"/>
        </w:trPr>
        <w:tc>
          <w:tcPr>
            <w:tcW w:w="1273" w:type="dxa"/>
            <w:tcBorders>
              <w:top w:val="nil"/>
              <w:left w:val="nil"/>
              <w:bottom w:val="nil"/>
              <w:right w:val="nil"/>
            </w:tcBorders>
            <w:shd w:val="clear" w:color="auto" w:fill="FFFFFF"/>
            <w:vAlign w:val="center"/>
          </w:tcPr>
          <w:p w14:paraId="5F041A70">
            <w:pPr>
              <w:jc w:val="center"/>
              <w:rPr>
                <w:b w:val="0"/>
                <w:color w:val="000000"/>
              </w:rPr>
            </w:pPr>
            <w:r>
              <w:rPr>
                <w:rFonts w:hint="eastAsia" w:ascii="微软雅黑" w:hAnsi="微软雅黑" w:eastAsia="微软雅黑" w:cs="微软雅黑"/>
                <w:b w:val="0"/>
                <w:color w:val="000000"/>
                <w:sz w:val="20"/>
              </w:rPr>
              <w:t>价格</w:t>
            </w:r>
          </w:p>
        </w:tc>
        <w:tc>
          <w:tcPr>
            <w:tcW w:w="3432" w:type="dxa"/>
            <w:tcBorders>
              <w:top w:val="nil"/>
              <w:left w:val="nil"/>
              <w:bottom w:val="nil"/>
              <w:right w:val="nil"/>
            </w:tcBorders>
            <w:shd w:val="clear" w:color="auto" w:fill="FFFFFF"/>
          </w:tcPr>
          <w:p w14:paraId="30703558">
            <w:pPr>
              <w:ind w:firstLine="200" w:firstLineChars="100"/>
              <w:rPr>
                <w:b w:val="0"/>
                <w:color w:val="000000"/>
              </w:rPr>
            </w:pPr>
            <w:r>
              <w:rPr>
                <w:rFonts w:hint="eastAsia" w:ascii="微软雅黑" w:hAnsi="微软雅黑" w:eastAsia="微软雅黑" w:cs="微软雅黑"/>
                <w:b w:val="0"/>
                <w:color w:val="000000"/>
                <w:sz w:val="20"/>
              </w:rPr>
              <w:t>原始售价，用于价格带划分</w:t>
            </w:r>
          </w:p>
        </w:tc>
      </w:tr>
      <w:tr w14:paraId="1C630ED2">
        <w:tblPrEx>
          <w:tblBorders>
            <w:top w:val="single" w:color="2B579A" w:sz="6" w:space="0"/>
            <w:left w:val="single" w:color="2B579A" w:sz="6" w:space="0"/>
            <w:bottom w:val="single" w:color="2B579A" w:sz="6" w:space="0"/>
            <w:right w:val="single" w:color="2B579A" w:sz="6" w:space="0"/>
            <w:insideH w:val="single" w:color="CBCDD1" w:sz="6" w:space="0"/>
            <w:insideV w:val="single" w:color="CBCDD1" w:sz="6" w:space="0"/>
          </w:tblBorders>
          <w:tblCellMar>
            <w:top w:w="15" w:type="dxa"/>
            <w:left w:w="15" w:type="dxa"/>
            <w:bottom w:w="15" w:type="dxa"/>
            <w:right w:w="15" w:type="dxa"/>
          </w:tblCellMar>
        </w:tblPrEx>
        <w:trPr>
          <w:jc w:val="center"/>
        </w:trPr>
        <w:tc>
          <w:tcPr>
            <w:tcW w:w="1273" w:type="dxa"/>
            <w:tcBorders>
              <w:top w:val="nil"/>
              <w:left w:val="nil"/>
              <w:bottom w:val="nil"/>
              <w:right w:val="nil"/>
            </w:tcBorders>
            <w:shd w:val="clear" w:color="auto" w:fill="FFFFFF"/>
            <w:vAlign w:val="center"/>
          </w:tcPr>
          <w:p w14:paraId="6F1D18D5">
            <w:pPr>
              <w:jc w:val="center"/>
              <w:rPr>
                <w:b w:val="0"/>
                <w:color w:val="000000"/>
              </w:rPr>
            </w:pPr>
            <w:r>
              <w:rPr>
                <w:rFonts w:hint="eastAsia" w:ascii="微软雅黑" w:hAnsi="微软雅黑" w:eastAsia="微软雅黑" w:cs="微软雅黑"/>
                <w:b w:val="0"/>
                <w:color w:val="000000"/>
                <w:sz w:val="20"/>
              </w:rPr>
              <w:t>销量</w:t>
            </w:r>
          </w:p>
        </w:tc>
        <w:tc>
          <w:tcPr>
            <w:tcW w:w="3432" w:type="dxa"/>
            <w:tcBorders>
              <w:top w:val="nil"/>
              <w:left w:val="nil"/>
              <w:bottom w:val="nil"/>
              <w:right w:val="nil"/>
            </w:tcBorders>
            <w:shd w:val="clear" w:color="auto" w:fill="FFFFFF"/>
          </w:tcPr>
          <w:p w14:paraId="2C6E16DF">
            <w:pPr>
              <w:ind w:firstLine="200" w:firstLineChars="100"/>
              <w:rPr>
                <w:b w:val="0"/>
                <w:color w:val="000000"/>
              </w:rPr>
            </w:pPr>
            <w:r>
              <w:rPr>
                <w:rFonts w:hint="eastAsia" w:ascii="微软雅黑" w:hAnsi="微软雅黑" w:eastAsia="微软雅黑" w:cs="微软雅黑"/>
                <w:b w:val="0"/>
                <w:color w:val="000000"/>
                <w:sz w:val="20"/>
              </w:rPr>
              <w:t>月销量，核心竞争力指标</w:t>
            </w:r>
          </w:p>
        </w:tc>
      </w:tr>
      <w:tr w14:paraId="2DFCA504">
        <w:tblPrEx>
          <w:tblBorders>
            <w:top w:val="single" w:color="2B579A" w:sz="6" w:space="0"/>
            <w:left w:val="single" w:color="2B579A" w:sz="6" w:space="0"/>
            <w:bottom w:val="single" w:color="2B579A" w:sz="6" w:space="0"/>
            <w:right w:val="single" w:color="2B579A" w:sz="6" w:space="0"/>
            <w:insideH w:val="single" w:color="CBCDD1" w:sz="6" w:space="0"/>
            <w:insideV w:val="single" w:color="CBCDD1" w:sz="6" w:space="0"/>
          </w:tblBorders>
          <w:tblCellMar>
            <w:top w:w="15" w:type="dxa"/>
            <w:left w:w="15" w:type="dxa"/>
            <w:bottom w:w="15" w:type="dxa"/>
            <w:right w:w="15" w:type="dxa"/>
          </w:tblCellMar>
        </w:tblPrEx>
        <w:trPr>
          <w:jc w:val="center"/>
        </w:trPr>
        <w:tc>
          <w:tcPr>
            <w:tcW w:w="1273" w:type="dxa"/>
            <w:tcBorders>
              <w:top w:val="nil"/>
              <w:left w:val="nil"/>
              <w:bottom w:val="nil"/>
              <w:right w:val="nil"/>
            </w:tcBorders>
            <w:shd w:val="clear" w:color="auto" w:fill="FFFFFF"/>
            <w:vAlign w:val="center"/>
          </w:tcPr>
          <w:p w14:paraId="4C617043">
            <w:pPr>
              <w:jc w:val="center"/>
              <w:rPr>
                <w:b w:val="0"/>
                <w:color w:val="000000"/>
              </w:rPr>
            </w:pPr>
            <w:r>
              <w:rPr>
                <w:rFonts w:hint="eastAsia" w:ascii="微软雅黑" w:hAnsi="微软雅黑" w:eastAsia="微软雅黑" w:cs="微软雅黑"/>
                <w:b w:val="0"/>
                <w:color w:val="000000"/>
                <w:sz w:val="20"/>
              </w:rPr>
              <w:t>品牌</w:t>
            </w:r>
          </w:p>
        </w:tc>
        <w:tc>
          <w:tcPr>
            <w:tcW w:w="3432" w:type="dxa"/>
            <w:tcBorders>
              <w:top w:val="nil"/>
              <w:left w:val="nil"/>
              <w:bottom w:val="nil"/>
              <w:right w:val="nil"/>
            </w:tcBorders>
            <w:shd w:val="clear" w:color="auto" w:fill="FFFFFF"/>
          </w:tcPr>
          <w:p w14:paraId="7E2D5D80">
            <w:pPr>
              <w:ind w:firstLine="200" w:firstLineChars="100"/>
              <w:rPr>
                <w:b w:val="0"/>
                <w:color w:val="000000"/>
              </w:rPr>
            </w:pPr>
            <w:r>
              <w:rPr>
                <w:rFonts w:hint="eastAsia" w:ascii="微软雅黑" w:hAnsi="微软雅黑" w:eastAsia="微软雅黑" w:cs="微软雅黑"/>
                <w:b w:val="0"/>
                <w:color w:val="000000"/>
                <w:sz w:val="20"/>
              </w:rPr>
              <w:t>用于品牌集中度分析</w:t>
            </w:r>
          </w:p>
        </w:tc>
      </w:tr>
      <w:tr w14:paraId="386C7A98">
        <w:tblPrEx>
          <w:tblBorders>
            <w:top w:val="single" w:color="2B579A" w:sz="6" w:space="0"/>
            <w:left w:val="single" w:color="2B579A" w:sz="6" w:space="0"/>
            <w:bottom w:val="single" w:color="2B579A" w:sz="6" w:space="0"/>
            <w:right w:val="single" w:color="2B579A" w:sz="6" w:space="0"/>
            <w:insideH w:val="single" w:color="CBCDD1" w:sz="6" w:space="0"/>
            <w:insideV w:val="single" w:color="CBCDD1" w:sz="6" w:space="0"/>
          </w:tblBorders>
          <w:tblCellMar>
            <w:top w:w="15" w:type="dxa"/>
            <w:left w:w="15" w:type="dxa"/>
            <w:bottom w:w="15" w:type="dxa"/>
            <w:right w:w="15" w:type="dxa"/>
          </w:tblCellMar>
        </w:tblPrEx>
        <w:trPr>
          <w:jc w:val="center"/>
        </w:trPr>
        <w:tc>
          <w:tcPr>
            <w:tcW w:w="1273" w:type="dxa"/>
            <w:tcBorders>
              <w:top w:val="nil"/>
              <w:left w:val="nil"/>
              <w:bottom w:val="nil"/>
              <w:right w:val="nil"/>
            </w:tcBorders>
            <w:shd w:val="clear" w:color="auto" w:fill="FFFFFF"/>
            <w:vAlign w:val="center"/>
          </w:tcPr>
          <w:p w14:paraId="791D0276">
            <w:pPr>
              <w:jc w:val="center"/>
              <w:rPr>
                <w:b w:val="0"/>
                <w:color w:val="000000"/>
              </w:rPr>
            </w:pPr>
            <w:r>
              <w:rPr>
                <w:rFonts w:hint="eastAsia" w:ascii="微软雅黑" w:hAnsi="微软雅黑" w:eastAsia="微软雅黑" w:cs="微软雅黑"/>
                <w:b w:val="0"/>
                <w:color w:val="000000"/>
                <w:sz w:val="20"/>
              </w:rPr>
              <w:t>产品类型</w:t>
            </w:r>
          </w:p>
        </w:tc>
        <w:tc>
          <w:tcPr>
            <w:tcW w:w="3432" w:type="dxa"/>
            <w:tcBorders>
              <w:top w:val="nil"/>
              <w:left w:val="nil"/>
              <w:bottom w:val="nil"/>
              <w:right w:val="nil"/>
            </w:tcBorders>
            <w:shd w:val="clear" w:color="auto" w:fill="FFFFFF"/>
          </w:tcPr>
          <w:p w14:paraId="1E9DCB6C">
            <w:pPr>
              <w:ind w:firstLine="200" w:firstLineChars="100"/>
              <w:rPr>
                <w:b w:val="0"/>
                <w:color w:val="000000"/>
              </w:rPr>
            </w:pPr>
            <w:r>
              <w:rPr>
                <w:rFonts w:hint="eastAsia" w:ascii="微软雅黑" w:hAnsi="微软雅黑" w:eastAsia="微软雅黑" w:cs="微软雅黑"/>
                <w:b w:val="0"/>
                <w:color w:val="000000"/>
                <w:sz w:val="20"/>
              </w:rPr>
              <w:t>游戏本/轻薄本/商务本等分类</w:t>
            </w:r>
          </w:p>
        </w:tc>
      </w:tr>
      <w:tr w14:paraId="0AA2DB72">
        <w:tblPrEx>
          <w:tblBorders>
            <w:top w:val="single" w:color="2B579A" w:sz="6" w:space="0"/>
            <w:left w:val="single" w:color="2B579A" w:sz="6" w:space="0"/>
            <w:bottom w:val="single" w:color="2B579A" w:sz="6" w:space="0"/>
            <w:right w:val="single" w:color="2B579A" w:sz="6" w:space="0"/>
            <w:insideH w:val="single" w:color="CBCDD1" w:sz="6" w:space="0"/>
            <w:insideV w:val="single" w:color="CBCDD1" w:sz="6" w:space="0"/>
          </w:tblBorders>
          <w:tblCellMar>
            <w:top w:w="15" w:type="dxa"/>
            <w:left w:w="15" w:type="dxa"/>
            <w:bottom w:w="15" w:type="dxa"/>
            <w:right w:w="15" w:type="dxa"/>
          </w:tblCellMar>
        </w:tblPrEx>
        <w:trPr>
          <w:jc w:val="center"/>
        </w:trPr>
        <w:tc>
          <w:tcPr>
            <w:tcW w:w="1273" w:type="dxa"/>
            <w:tcBorders>
              <w:top w:val="nil"/>
              <w:left w:val="nil"/>
              <w:bottom w:val="nil"/>
              <w:right w:val="nil"/>
            </w:tcBorders>
            <w:shd w:val="clear" w:color="auto" w:fill="FFFFFF"/>
            <w:vAlign w:val="center"/>
          </w:tcPr>
          <w:p w14:paraId="5D7846B6">
            <w:pPr>
              <w:jc w:val="center"/>
              <w:rPr>
                <w:b w:val="0"/>
                <w:color w:val="000000"/>
              </w:rPr>
            </w:pPr>
            <w:r>
              <w:rPr>
                <w:rFonts w:hint="eastAsia" w:ascii="微软雅黑" w:hAnsi="微软雅黑" w:eastAsia="微软雅黑" w:cs="微软雅黑"/>
                <w:b w:val="0"/>
                <w:color w:val="000000"/>
                <w:sz w:val="20"/>
              </w:rPr>
              <w:t>产地/省份</w:t>
            </w:r>
          </w:p>
        </w:tc>
        <w:tc>
          <w:tcPr>
            <w:tcW w:w="3432" w:type="dxa"/>
            <w:tcBorders>
              <w:top w:val="nil"/>
              <w:left w:val="nil"/>
              <w:bottom w:val="nil"/>
              <w:right w:val="nil"/>
            </w:tcBorders>
            <w:shd w:val="clear" w:color="auto" w:fill="FFFFFF"/>
          </w:tcPr>
          <w:p w14:paraId="2A2BE4B0">
            <w:pPr>
              <w:ind w:firstLine="200" w:firstLineChars="100"/>
              <w:rPr>
                <w:b w:val="0"/>
                <w:color w:val="000000"/>
              </w:rPr>
            </w:pPr>
            <w:r>
              <w:rPr>
                <w:rFonts w:hint="eastAsia" w:ascii="微软雅黑" w:hAnsi="微软雅黑" w:eastAsia="微软雅黑" w:cs="微软雅黑"/>
                <w:b w:val="0"/>
                <w:color w:val="000000"/>
                <w:sz w:val="20"/>
              </w:rPr>
              <w:t>用于产地分布与供应链分析</w:t>
            </w:r>
          </w:p>
        </w:tc>
      </w:tr>
      <w:tr w14:paraId="5CB184F2">
        <w:tblPrEx>
          <w:tblBorders>
            <w:top w:val="single" w:color="2B579A" w:sz="6" w:space="0"/>
            <w:left w:val="single" w:color="2B579A" w:sz="6" w:space="0"/>
            <w:bottom w:val="single" w:color="2B579A" w:sz="6" w:space="0"/>
            <w:right w:val="single" w:color="2B579A" w:sz="6" w:space="0"/>
            <w:insideH w:val="single" w:color="CBCDD1" w:sz="6" w:space="0"/>
            <w:insideV w:val="single" w:color="CBCDD1" w:sz="6" w:space="0"/>
          </w:tblBorders>
          <w:tblCellMar>
            <w:top w:w="15" w:type="dxa"/>
            <w:left w:w="15" w:type="dxa"/>
            <w:bottom w:w="15" w:type="dxa"/>
            <w:right w:w="15" w:type="dxa"/>
          </w:tblCellMar>
        </w:tblPrEx>
        <w:trPr>
          <w:jc w:val="center"/>
        </w:trPr>
        <w:tc>
          <w:tcPr>
            <w:tcW w:w="1273" w:type="dxa"/>
            <w:tcBorders>
              <w:top w:val="nil"/>
              <w:left w:val="nil"/>
              <w:bottom w:val="single" w:color="9BBB59" w:sz="12" w:space="0"/>
              <w:right w:val="nil"/>
            </w:tcBorders>
            <w:shd w:val="clear" w:color="auto" w:fill="FFFFFF"/>
            <w:vAlign w:val="center"/>
          </w:tcPr>
          <w:p w14:paraId="71A452F6">
            <w:pPr>
              <w:jc w:val="center"/>
              <w:rPr>
                <w:b w:val="0"/>
                <w:color w:val="000000"/>
              </w:rPr>
            </w:pPr>
            <w:r>
              <w:rPr>
                <w:rFonts w:hint="eastAsia" w:ascii="微软雅黑" w:hAnsi="微软雅黑" w:eastAsia="微软雅黑" w:cs="微软雅黑"/>
                <w:b w:val="0"/>
                <w:color w:val="000000"/>
                <w:sz w:val="20"/>
              </w:rPr>
              <w:t>店铺信息</w:t>
            </w:r>
          </w:p>
        </w:tc>
        <w:tc>
          <w:tcPr>
            <w:tcW w:w="3432" w:type="dxa"/>
            <w:tcBorders>
              <w:top w:val="nil"/>
              <w:left w:val="nil"/>
              <w:bottom w:val="single" w:color="9BBB59" w:sz="12" w:space="0"/>
              <w:right w:val="nil"/>
            </w:tcBorders>
            <w:shd w:val="clear" w:color="auto" w:fill="FFFFFF"/>
          </w:tcPr>
          <w:p w14:paraId="7BC6BC4F">
            <w:pPr>
              <w:ind w:firstLine="200" w:firstLineChars="100"/>
              <w:rPr>
                <w:b w:val="0"/>
                <w:color w:val="000000"/>
              </w:rPr>
            </w:pPr>
            <w:r>
              <w:rPr>
                <w:rFonts w:hint="eastAsia" w:ascii="微软雅黑" w:hAnsi="微软雅黑" w:eastAsia="微软雅黑" w:cs="微软雅黑"/>
                <w:b w:val="0"/>
                <w:color w:val="000000"/>
                <w:sz w:val="20"/>
              </w:rPr>
              <w:t>辅助维度</w:t>
            </w:r>
          </w:p>
        </w:tc>
      </w:tr>
    </w:tbl>
    <w:p w14:paraId="6A2AC303">
      <w:pPr>
        <w:keepNext/>
        <w:keepLines/>
        <w:spacing w:before="100" w:beforeAutospacing="1" w:after="100" w:afterAutospacing="1"/>
        <w:outlineLvl w:val="1"/>
        <w:rPr>
          <w:sz w:val="32"/>
          <w:szCs w:val="32"/>
        </w:rPr>
      </w:pPr>
      <w:r>
        <w:rPr>
          <w:rFonts w:hint="eastAsia" w:ascii="微软雅黑" w:hAnsi="微软雅黑" w:eastAsia="微软雅黑" w:cs="微软雅黑"/>
          <w:b/>
          <w:sz w:val="28"/>
        </w:rPr>
        <w:t>数据分析与洞察</w:t>
      </w:r>
    </w:p>
    <w:p w14:paraId="2EC65EC9">
      <w:pPr>
        <w:keepNext/>
        <w:keepLines/>
        <w:spacing w:before="100" w:beforeAutospacing="1" w:after="100" w:afterAutospacing="1"/>
        <w:outlineLvl w:val="2"/>
        <w:rPr>
          <w:sz w:val="32"/>
          <w:szCs w:val="32"/>
        </w:rPr>
      </w:pPr>
      <w:r>
        <w:rPr>
          <w:rFonts w:hint="eastAsia" w:ascii="微软雅黑" w:hAnsi="微软雅黑" w:eastAsia="微软雅黑" w:cs="微软雅黑"/>
          <w:b/>
          <w:sz w:val="24"/>
        </w:rPr>
        <w:t>品牌竞争格局</w:t>
      </w:r>
    </w:p>
    <w:p w14:paraId="32728A76">
      <w:r>
        <w:rPr>
          <w:rFonts w:hint="eastAsia" w:ascii="微软雅黑" w:hAnsi="微软雅黑" w:eastAsia="微软雅黑" w:cs="微软雅黑"/>
          <w:sz w:val="21"/>
        </w:rPr>
        <w:t>对销量排名前 15 的品牌进行集中度分析。联想以显著优势占据头部位置，华为、惠普销售额保持在较高水平，市场呈现明显的头部品牌集中效应，中小品牌在差异化定位上仍有突围空间。</w:t>
      </w:r>
    </w:p>
    <w:p w14:paraId="1ABCD7E4">
      <w:pPr>
        <w:keepNext/>
        <w:keepLines/>
        <w:spacing w:before="100" w:beforeAutospacing="1" w:after="100" w:afterAutospacing="1"/>
        <w:outlineLvl w:val="2"/>
        <w:rPr>
          <w:sz w:val="32"/>
          <w:szCs w:val="32"/>
        </w:rPr>
      </w:pPr>
      <w:r>
        <w:rPr>
          <w:rFonts w:hint="eastAsia" w:ascii="微软雅黑" w:hAnsi="微软雅黑" w:eastAsia="微软雅黑" w:cs="微软雅黑"/>
          <w:b/>
          <w:sz w:val="24"/>
        </w:rPr>
        <w:t>价格带结构</w:t>
      </w:r>
    </w:p>
    <w:p w14:paraId="227D2B03">
      <w:r>
        <w:rPr>
          <w:rFonts w:hint="eastAsia" w:ascii="微软雅黑" w:hAnsi="微软雅黑" w:eastAsia="微软雅黑" w:cs="微软雅黑"/>
          <w:sz w:val="21"/>
        </w:rPr>
        <w:t>将市场划分为四个价格区间进行分析。3000-5000 元区间占据46.4%的商品数量和约 60% 的销量，是绝对主力消费带。7000 元以上高端市场商品数量虽少，但贡献了可观的销售额，客单价优势显著。</w:t>
      </w:r>
    </w:p>
    <w:p w14:paraId="0455B96B">
      <w:pPr>
        <w:keepNext/>
        <w:keepLines/>
        <w:spacing w:before="100" w:beforeAutospacing="1" w:after="100" w:afterAutospacing="1"/>
        <w:outlineLvl w:val="2"/>
        <w:rPr>
          <w:sz w:val="32"/>
          <w:szCs w:val="32"/>
        </w:rPr>
      </w:pPr>
      <w:r>
        <w:rPr>
          <w:rFonts w:hint="eastAsia" w:ascii="微软雅黑" w:hAnsi="微软雅黑" w:eastAsia="微软雅黑" w:cs="微软雅黑"/>
          <w:b/>
          <w:sz w:val="24"/>
        </w:rPr>
        <w:t>品类偏好</w:t>
      </w:r>
    </w:p>
    <w:p w14:paraId="44DAF55E">
      <w:r>
        <w:rPr>
          <w:rFonts w:hint="eastAsia" w:ascii="微软雅黑" w:hAnsi="微软雅黑" w:eastAsia="微软雅黑" w:cs="微软雅黑"/>
          <w:sz w:val="21"/>
        </w:rPr>
        <w:t>游戏本以 68.2% 的份额占据主导地位，反映出消费者对高性能计算能力的需求持续走高。轻薄本和商务本各有稳定受众，细分市场竞争格局清晰。</w:t>
      </w:r>
    </w:p>
    <w:p w14:paraId="460F4C61">
      <w:pPr>
        <w:keepNext/>
        <w:keepLines/>
        <w:spacing w:before="100" w:beforeAutospacing="1" w:after="100" w:afterAutospacing="1"/>
        <w:outlineLvl w:val="2"/>
        <w:rPr>
          <w:sz w:val="32"/>
          <w:szCs w:val="32"/>
        </w:rPr>
      </w:pPr>
      <w:r>
        <w:rPr>
          <w:rFonts w:hint="eastAsia" w:ascii="微软雅黑" w:hAnsi="微软雅黑" w:eastAsia="微软雅黑" w:cs="微软雅黑"/>
          <w:b/>
          <w:sz w:val="24"/>
        </w:rPr>
        <w:t>产地分布</w:t>
      </w:r>
    </w:p>
    <w:p w14:paraId="4C721514">
      <w:r>
        <w:rPr>
          <w:rFonts w:hint="eastAsia" w:ascii="微软雅黑" w:hAnsi="微软雅黑" w:eastAsia="微软雅黑" w:cs="微软雅黑"/>
          <w:sz w:val="21"/>
        </w:rPr>
        <w:t>商品产地在珠三角和长三角地区高度集中，与 IT 制造业产业集群分布高度吻合。Top 10 产地贡献了绝大部分商品供给，供应链集中化特征明显。</w:t>
      </w:r>
    </w:p>
    <w:p w14:paraId="0CCEE715">
      <w:pPr>
        <w:keepNext/>
        <w:keepLines/>
        <w:spacing w:before="100" w:beforeAutospacing="1" w:after="100" w:afterAutospacing="1"/>
        <w:outlineLvl w:val="2"/>
        <w:rPr>
          <w:sz w:val="32"/>
          <w:szCs w:val="32"/>
        </w:rPr>
      </w:pPr>
      <w:r>
        <w:rPr>
          <w:rFonts w:hint="eastAsia" w:ascii="微软雅黑" w:hAnsi="微软雅黑" w:eastAsia="微软雅黑" w:cs="微软雅黑"/>
          <w:b/>
          <w:sz w:val="24"/>
        </w:rPr>
        <w:t>用户关注热点</w:t>
      </w:r>
    </w:p>
    <w:p w14:paraId="343C3390">
      <w:r>
        <w:rPr>
          <w:rFonts w:hint="eastAsia" w:ascii="微软雅黑" w:hAnsi="微软雅黑" w:eastAsia="微软雅黑" w:cs="微软雅黑"/>
          <w:sz w:val="21"/>
        </w:rPr>
        <w:t>对商品标题进行中文分词与词频统计，生成词云图。高频词集中在三大类：</w:t>
      </w:r>
      <w:r>
        <w:rPr>
          <w:rFonts w:hint="eastAsia" w:ascii="微软雅黑" w:hAnsi="微软雅黑" w:eastAsia="微软雅黑" w:cs="微软雅黑"/>
          <w:b/>
          <w:sz w:val="21"/>
        </w:rPr>
        <w:t>品牌名</w:t>
      </w:r>
      <w:r>
        <w:rPr>
          <w:rFonts w:hint="eastAsia" w:ascii="微软雅黑" w:hAnsi="微软雅黑" w:eastAsia="微软雅黑" w:cs="微软雅黑"/>
          <w:sz w:val="21"/>
        </w:rPr>
        <w:t>（联想、华为）、</w:t>
      </w:r>
      <w:r>
        <w:rPr>
          <w:rFonts w:hint="eastAsia" w:ascii="微软雅黑" w:hAnsi="微软雅黑" w:eastAsia="微软雅黑" w:cs="微软雅黑"/>
          <w:b/>
          <w:sz w:val="21"/>
        </w:rPr>
        <w:t>性能指标</w:t>
      </w:r>
      <w:r>
        <w:rPr>
          <w:rFonts w:hint="eastAsia" w:ascii="微软雅黑" w:hAnsi="微软雅黑" w:eastAsia="微软雅黑" w:cs="微软雅黑"/>
          <w:sz w:val="21"/>
        </w:rPr>
        <w:t>（i7、独显、16G）和</w:t>
      </w:r>
      <w:r>
        <w:rPr>
          <w:rFonts w:hint="eastAsia" w:ascii="微软雅黑" w:hAnsi="微软雅黑" w:eastAsia="微软雅黑" w:cs="微软雅黑"/>
          <w:b/>
          <w:sz w:val="21"/>
        </w:rPr>
        <w:t>使用场景</w:t>
      </w:r>
      <w:r>
        <w:rPr>
          <w:rFonts w:hint="eastAsia" w:ascii="微软雅黑" w:hAnsi="微软雅黑" w:eastAsia="微软雅黑" w:cs="微软雅黑"/>
          <w:sz w:val="21"/>
        </w:rPr>
        <w:t>（办公、游戏），清晰揭示了消费者的核心关注维度。</w:t>
      </w:r>
    </w:p>
    <w:p w14:paraId="38122FE4">
      <w:pPr>
        <w:keepNext/>
        <w:keepLines/>
        <w:spacing w:before="100" w:beforeAutospacing="1" w:after="100" w:afterAutospacing="1"/>
        <w:outlineLvl w:val="1"/>
        <w:rPr>
          <w:sz w:val="32"/>
          <w:szCs w:val="32"/>
        </w:rPr>
      </w:pPr>
      <w:r>
        <w:rPr>
          <w:rFonts w:hint="eastAsia" w:ascii="微软雅黑" w:hAnsi="微软雅黑" w:eastAsia="微软雅黑" w:cs="微软雅黑"/>
          <w:b/>
          <w:sz w:val="28"/>
        </w:rPr>
        <w:t>技术实现</w:t>
      </w:r>
    </w:p>
    <w:tbl>
      <w:tblPr>
        <w:tblStyle w:val="2"/>
        <w:tblW w:w="0" w:type="auto"/>
        <w:jc w:val="center"/>
        <w:tblBorders>
          <w:top w:val="single" w:color="2B579A" w:sz="6" w:space="0"/>
          <w:left w:val="single" w:color="2B579A" w:sz="6" w:space="0"/>
          <w:bottom w:val="single" w:color="2B579A" w:sz="6" w:space="0"/>
          <w:right w:val="single" w:color="2B579A" w:sz="6" w:space="0"/>
          <w:insideH w:val="single" w:color="CBCDD1" w:sz="6" w:space="0"/>
          <w:insideV w:val="single" w:color="CBCDD1" w:sz="6" w:space="0"/>
        </w:tblBorders>
        <w:tblLayout w:type="autofit"/>
        <w:tblCellMar>
          <w:top w:w="15" w:type="dxa"/>
          <w:left w:w="15" w:type="dxa"/>
          <w:bottom w:w="15" w:type="dxa"/>
          <w:right w:w="15" w:type="dxa"/>
        </w:tblCellMar>
      </w:tblPr>
      <w:tblGrid>
        <w:gridCol w:w="1259"/>
        <w:gridCol w:w="4814"/>
      </w:tblGrid>
      <w:tr w14:paraId="2415F17A">
        <w:tblPrEx>
          <w:tblBorders>
            <w:top w:val="single" w:color="2B579A" w:sz="6" w:space="0"/>
            <w:left w:val="single" w:color="2B579A" w:sz="6" w:space="0"/>
            <w:bottom w:val="single" w:color="2B579A" w:sz="6" w:space="0"/>
            <w:right w:val="single" w:color="2B579A"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1259" w:type="dxa"/>
            <w:tcBorders>
              <w:top w:val="single" w:color="9BBB59" w:sz="12" w:space="0"/>
              <w:left w:val="nil"/>
              <w:bottom w:val="single" w:color="9BBB59" w:sz="4" w:space="0"/>
              <w:right w:val="nil"/>
              <w:tl2br w:val="nil"/>
            </w:tcBorders>
            <w:shd w:val="clear" w:color="auto" w:fill="FFFFFF"/>
          </w:tcPr>
          <w:p w14:paraId="7BD4DE54">
            <w:pPr>
              <w:jc w:val="center"/>
              <w:rPr>
                <w:rFonts w:hint="eastAsia" w:ascii="微软雅黑" w:hAnsi="微软雅黑" w:eastAsia="微软雅黑" w:cs="微软雅黑"/>
                <w:b/>
                <w:bCs/>
                <w:color w:val="000000"/>
                <w:sz w:val="20"/>
              </w:rPr>
            </w:pPr>
            <w:r>
              <w:rPr>
                <w:rFonts w:hint="eastAsia" w:ascii="微软雅黑" w:hAnsi="微软雅黑" w:eastAsia="微软雅黑" w:cs="微软雅黑"/>
                <w:b/>
                <w:bCs/>
                <w:color w:val="000000"/>
                <w:sz w:val="20"/>
              </w:rPr>
              <w:t>环节</w:t>
            </w:r>
          </w:p>
        </w:tc>
        <w:tc>
          <w:tcPr>
            <w:tcW w:w="4814" w:type="dxa"/>
            <w:tcBorders>
              <w:top w:val="single" w:color="9BBB59" w:sz="12" w:space="0"/>
              <w:left w:val="nil"/>
              <w:bottom w:val="single" w:color="9BBB59" w:sz="4" w:space="0"/>
              <w:right w:val="nil"/>
            </w:tcBorders>
            <w:shd w:val="clear" w:color="auto" w:fill="FFFFFF"/>
            <w:vAlign w:val="top"/>
          </w:tcPr>
          <w:p w14:paraId="470182D8">
            <w:pPr>
              <w:ind w:firstLine="200" w:firstLineChars="100"/>
              <w:jc w:val="both"/>
              <w:rPr>
                <w:rFonts w:hint="eastAsia" w:ascii="微软雅黑" w:hAnsi="微软雅黑" w:eastAsia="微软雅黑" w:cs="微软雅黑"/>
                <w:b/>
                <w:bCs/>
                <w:color w:val="000000"/>
                <w:sz w:val="20"/>
              </w:rPr>
            </w:pPr>
            <w:r>
              <w:rPr>
                <w:rFonts w:hint="eastAsia" w:ascii="微软雅黑" w:hAnsi="微软雅黑" w:eastAsia="微软雅黑" w:cs="微软雅黑"/>
                <w:b/>
                <w:bCs/>
                <w:color w:val="000000"/>
                <w:sz w:val="20"/>
              </w:rPr>
              <w:t>技术栈</w:t>
            </w:r>
          </w:p>
        </w:tc>
      </w:tr>
      <w:tr w14:paraId="041A8F0C">
        <w:tblPrEx>
          <w:tblBorders>
            <w:top w:val="single" w:color="2B579A" w:sz="6" w:space="0"/>
            <w:left w:val="single" w:color="2B579A" w:sz="6" w:space="0"/>
            <w:bottom w:val="single" w:color="2B579A" w:sz="6" w:space="0"/>
            <w:right w:val="single" w:color="2B579A" w:sz="6" w:space="0"/>
            <w:insideH w:val="single" w:color="CBCDD1" w:sz="6" w:space="0"/>
            <w:insideV w:val="single" w:color="CBCDD1" w:sz="6" w:space="0"/>
          </w:tblBorders>
          <w:tblCellMar>
            <w:top w:w="15" w:type="dxa"/>
            <w:left w:w="15" w:type="dxa"/>
            <w:bottom w:w="15" w:type="dxa"/>
            <w:right w:w="15" w:type="dxa"/>
          </w:tblCellMar>
        </w:tblPrEx>
        <w:trPr>
          <w:jc w:val="center"/>
        </w:trPr>
        <w:tc>
          <w:tcPr>
            <w:tcW w:w="1259" w:type="dxa"/>
            <w:tcBorders>
              <w:top w:val="single" w:color="9BBB59" w:sz="4" w:space="0"/>
              <w:left w:val="nil"/>
              <w:bottom w:val="nil"/>
              <w:right w:val="nil"/>
            </w:tcBorders>
            <w:shd w:val="clear" w:color="auto" w:fill="FFFFFF"/>
          </w:tcPr>
          <w:p w14:paraId="167F4D81">
            <w:pPr>
              <w:jc w:val="center"/>
              <w:rPr>
                <w:rFonts w:hint="eastAsia" w:ascii="微软雅黑" w:hAnsi="微软雅黑" w:eastAsia="微软雅黑" w:cs="微软雅黑"/>
                <w:b w:val="0"/>
                <w:color w:val="000000"/>
                <w:sz w:val="20"/>
              </w:rPr>
            </w:pPr>
            <w:r>
              <w:rPr>
                <w:rFonts w:hint="eastAsia" w:ascii="微软雅黑" w:hAnsi="微软雅黑" w:eastAsia="微软雅黑" w:cs="微软雅黑"/>
                <w:b w:val="0"/>
                <w:color w:val="000000"/>
                <w:sz w:val="20"/>
              </w:rPr>
              <w:t>数据采集</w:t>
            </w:r>
          </w:p>
        </w:tc>
        <w:tc>
          <w:tcPr>
            <w:tcW w:w="4814" w:type="dxa"/>
            <w:tcBorders>
              <w:top w:val="single" w:color="9BBB59" w:sz="4" w:space="0"/>
              <w:left w:val="nil"/>
              <w:bottom w:val="nil"/>
              <w:right w:val="nil"/>
            </w:tcBorders>
            <w:shd w:val="clear" w:color="auto" w:fill="FFFFFF"/>
            <w:vAlign w:val="top"/>
          </w:tcPr>
          <w:p w14:paraId="47BD66AD">
            <w:pPr>
              <w:ind w:firstLine="200" w:firstLineChars="100"/>
              <w:jc w:val="both"/>
              <w:rPr>
                <w:rFonts w:hint="eastAsia" w:ascii="微软雅黑" w:hAnsi="微软雅黑" w:eastAsia="微软雅黑" w:cs="微软雅黑"/>
                <w:b w:val="0"/>
                <w:color w:val="000000"/>
                <w:sz w:val="20"/>
              </w:rPr>
            </w:pPr>
            <w:r>
              <w:rPr>
                <w:rFonts w:hint="eastAsia" w:ascii="微软雅黑" w:hAnsi="微软雅黑" w:eastAsia="微软雅黑" w:cs="微软雅黑"/>
                <w:b w:val="0"/>
                <w:color w:val="000000"/>
                <w:sz w:val="20"/>
              </w:rPr>
              <w:t>Python + DrissionPage</w:t>
            </w:r>
          </w:p>
        </w:tc>
      </w:tr>
      <w:tr w14:paraId="0051917E">
        <w:tblPrEx>
          <w:tblBorders>
            <w:top w:val="single" w:color="2B579A" w:sz="6" w:space="0"/>
            <w:left w:val="single" w:color="2B579A" w:sz="6" w:space="0"/>
            <w:bottom w:val="single" w:color="2B579A" w:sz="6" w:space="0"/>
            <w:right w:val="single" w:color="2B579A" w:sz="6" w:space="0"/>
            <w:insideH w:val="single" w:color="CBCDD1" w:sz="6" w:space="0"/>
            <w:insideV w:val="single" w:color="CBCDD1" w:sz="6" w:space="0"/>
          </w:tblBorders>
          <w:tblCellMar>
            <w:top w:w="15" w:type="dxa"/>
            <w:left w:w="15" w:type="dxa"/>
            <w:bottom w:w="15" w:type="dxa"/>
            <w:right w:w="15" w:type="dxa"/>
          </w:tblCellMar>
        </w:tblPrEx>
        <w:trPr>
          <w:jc w:val="center"/>
        </w:trPr>
        <w:tc>
          <w:tcPr>
            <w:tcW w:w="1259" w:type="dxa"/>
            <w:tcBorders>
              <w:top w:val="nil"/>
              <w:left w:val="nil"/>
              <w:bottom w:val="nil"/>
              <w:right w:val="nil"/>
            </w:tcBorders>
            <w:shd w:val="clear" w:color="auto" w:fill="FFFFFF"/>
          </w:tcPr>
          <w:p w14:paraId="24532C69">
            <w:pPr>
              <w:jc w:val="center"/>
              <w:rPr>
                <w:rFonts w:hint="eastAsia" w:ascii="微软雅黑" w:hAnsi="微软雅黑" w:eastAsia="微软雅黑" w:cs="微软雅黑"/>
                <w:b w:val="0"/>
                <w:color w:val="000000"/>
                <w:sz w:val="20"/>
              </w:rPr>
            </w:pPr>
            <w:r>
              <w:rPr>
                <w:rFonts w:hint="eastAsia" w:ascii="微软雅黑" w:hAnsi="微软雅黑" w:eastAsia="微软雅黑" w:cs="微软雅黑"/>
                <w:b w:val="0"/>
                <w:color w:val="000000"/>
                <w:sz w:val="20"/>
              </w:rPr>
              <w:t>数据处理</w:t>
            </w:r>
          </w:p>
        </w:tc>
        <w:tc>
          <w:tcPr>
            <w:tcW w:w="4814" w:type="dxa"/>
            <w:tcBorders>
              <w:top w:val="nil"/>
              <w:left w:val="nil"/>
              <w:bottom w:val="nil"/>
              <w:right w:val="nil"/>
            </w:tcBorders>
            <w:shd w:val="clear" w:color="auto" w:fill="FFFFFF"/>
            <w:vAlign w:val="top"/>
          </w:tcPr>
          <w:p w14:paraId="6D73DA51">
            <w:pPr>
              <w:ind w:firstLine="200" w:firstLineChars="100"/>
              <w:jc w:val="both"/>
              <w:rPr>
                <w:rFonts w:hint="eastAsia" w:ascii="微软雅黑" w:hAnsi="微软雅黑" w:eastAsia="微软雅黑" w:cs="微软雅黑"/>
                <w:b w:val="0"/>
                <w:color w:val="000000"/>
                <w:sz w:val="20"/>
              </w:rPr>
            </w:pPr>
            <w:r>
              <w:rPr>
                <w:rFonts w:hint="eastAsia" w:ascii="微软雅黑" w:hAnsi="微软雅黑" w:eastAsia="微软雅黑" w:cs="微软雅黑"/>
                <w:b w:val="0"/>
                <w:color w:val="000000"/>
                <w:sz w:val="20"/>
              </w:rPr>
              <w:t>Pandas、NumPy（清洗率70%，4800→3381）</w:t>
            </w:r>
          </w:p>
        </w:tc>
      </w:tr>
      <w:tr w14:paraId="7A7ED3B1">
        <w:tblPrEx>
          <w:tblBorders>
            <w:top w:val="single" w:color="2B579A" w:sz="6" w:space="0"/>
            <w:left w:val="single" w:color="2B579A" w:sz="6" w:space="0"/>
            <w:bottom w:val="single" w:color="2B579A" w:sz="6" w:space="0"/>
            <w:right w:val="single" w:color="2B579A" w:sz="6" w:space="0"/>
            <w:insideH w:val="single" w:color="CBCDD1" w:sz="6" w:space="0"/>
            <w:insideV w:val="single" w:color="CBCDD1" w:sz="6" w:space="0"/>
          </w:tblBorders>
          <w:tblCellMar>
            <w:top w:w="15" w:type="dxa"/>
            <w:left w:w="15" w:type="dxa"/>
            <w:bottom w:w="15" w:type="dxa"/>
            <w:right w:w="15" w:type="dxa"/>
          </w:tblCellMar>
        </w:tblPrEx>
        <w:trPr>
          <w:jc w:val="center"/>
        </w:trPr>
        <w:tc>
          <w:tcPr>
            <w:tcW w:w="1259" w:type="dxa"/>
            <w:tcBorders>
              <w:top w:val="nil"/>
              <w:left w:val="nil"/>
              <w:bottom w:val="nil"/>
              <w:right w:val="nil"/>
            </w:tcBorders>
            <w:shd w:val="clear" w:color="auto" w:fill="FFFFFF"/>
          </w:tcPr>
          <w:p w14:paraId="5B909A19">
            <w:pPr>
              <w:jc w:val="center"/>
              <w:rPr>
                <w:rFonts w:hint="eastAsia" w:ascii="微软雅黑" w:hAnsi="微软雅黑" w:eastAsia="微软雅黑" w:cs="微软雅黑"/>
                <w:b w:val="0"/>
                <w:color w:val="000000"/>
                <w:sz w:val="20"/>
              </w:rPr>
            </w:pPr>
            <w:r>
              <w:rPr>
                <w:rFonts w:hint="eastAsia" w:ascii="微软雅黑" w:hAnsi="微软雅黑" w:eastAsia="微软雅黑" w:cs="微软雅黑"/>
                <w:b w:val="0"/>
                <w:color w:val="000000"/>
                <w:sz w:val="20"/>
              </w:rPr>
              <w:t>数据可视化</w:t>
            </w:r>
          </w:p>
        </w:tc>
        <w:tc>
          <w:tcPr>
            <w:tcW w:w="4814" w:type="dxa"/>
            <w:tcBorders>
              <w:top w:val="nil"/>
              <w:left w:val="nil"/>
              <w:bottom w:val="nil"/>
              <w:right w:val="nil"/>
            </w:tcBorders>
            <w:shd w:val="clear" w:color="auto" w:fill="FFFFFF"/>
            <w:vAlign w:val="top"/>
          </w:tcPr>
          <w:p w14:paraId="159A59AB">
            <w:pPr>
              <w:ind w:firstLine="200" w:firstLineChars="100"/>
              <w:jc w:val="both"/>
              <w:rPr>
                <w:rFonts w:hint="eastAsia" w:ascii="微软雅黑" w:hAnsi="微软雅黑" w:eastAsia="微软雅黑" w:cs="微软雅黑"/>
                <w:b w:val="0"/>
                <w:color w:val="000000"/>
                <w:sz w:val="20"/>
              </w:rPr>
            </w:pPr>
            <w:r>
              <w:rPr>
                <w:rFonts w:hint="eastAsia" w:ascii="微软雅黑" w:hAnsi="微软雅黑" w:eastAsia="微软雅黑" w:cs="微软雅黑"/>
                <w:b w:val="0"/>
                <w:color w:val="000000"/>
                <w:sz w:val="20"/>
              </w:rPr>
              <w:t>Matplotlib、Seaborn（6张核心图表）</w:t>
            </w:r>
          </w:p>
        </w:tc>
      </w:tr>
      <w:tr w14:paraId="347169EE">
        <w:tblPrEx>
          <w:tblBorders>
            <w:top w:val="single" w:color="2B579A" w:sz="6" w:space="0"/>
            <w:left w:val="single" w:color="2B579A" w:sz="6" w:space="0"/>
            <w:bottom w:val="single" w:color="2B579A" w:sz="6" w:space="0"/>
            <w:right w:val="single" w:color="2B579A" w:sz="6" w:space="0"/>
            <w:insideH w:val="single" w:color="CBCDD1" w:sz="6" w:space="0"/>
            <w:insideV w:val="single" w:color="CBCDD1" w:sz="6" w:space="0"/>
          </w:tblBorders>
          <w:tblCellMar>
            <w:top w:w="15" w:type="dxa"/>
            <w:left w:w="15" w:type="dxa"/>
            <w:bottom w:w="15" w:type="dxa"/>
            <w:right w:w="15" w:type="dxa"/>
          </w:tblCellMar>
        </w:tblPrEx>
        <w:trPr>
          <w:jc w:val="center"/>
        </w:trPr>
        <w:tc>
          <w:tcPr>
            <w:tcW w:w="1259" w:type="dxa"/>
            <w:tcBorders>
              <w:top w:val="nil"/>
              <w:left w:val="nil"/>
              <w:bottom w:val="nil"/>
              <w:right w:val="nil"/>
            </w:tcBorders>
            <w:shd w:val="clear" w:color="auto" w:fill="FFFFFF"/>
          </w:tcPr>
          <w:p w14:paraId="76D94182">
            <w:pPr>
              <w:jc w:val="center"/>
              <w:rPr>
                <w:rFonts w:hint="eastAsia" w:ascii="微软雅黑" w:hAnsi="微软雅黑" w:eastAsia="微软雅黑" w:cs="微软雅黑"/>
                <w:b w:val="0"/>
                <w:color w:val="000000"/>
                <w:sz w:val="20"/>
              </w:rPr>
            </w:pPr>
            <w:r>
              <w:rPr>
                <w:rFonts w:hint="eastAsia" w:ascii="微软雅黑" w:hAnsi="微软雅黑" w:eastAsia="微软雅黑" w:cs="微软雅黑"/>
                <w:b w:val="0"/>
                <w:color w:val="000000"/>
                <w:sz w:val="20"/>
              </w:rPr>
              <w:t>文本分析</w:t>
            </w:r>
          </w:p>
        </w:tc>
        <w:tc>
          <w:tcPr>
            <w:tcW w:w="4814" w:type="dxa"/>
            <w:tcBorders>
              <w:top w:val="nil"/>
              <w:left w:val="nil"/>
              <w:bottom w:val="nil"/>
              <w:right w:val="nil"/>
            </w:tcBorders>
            <w:shd w:val="clear" w:color="auto" w:fill="FFFFFF"/>
            <w:vAlign w:val="top"/>
          </w:tcPr>
          <w:p w14:paraId="71363F7B">
            <w:pPr>
              <w:ind w:firstLine="200" w:firstLineChars="100"/>
              <w:jc w:val="both"/>
              <w:rPr>
                <w:rFonts w:hint="eastAsia" w:ascii="微软雅黑" w:hAnsi="微软雅黑" w:eastAsia="微软雅黑" w:cs="微软雅黑"/>
                <w:b w:val="0"/>
                <w:color w:val="000000"/>
                <w:sz w:val="20"/>
              </w:rPr>
            </w:pPr>
            <w:r>
              <w:rPr>
                <w:rFonts w:hint="eastAsia" w:ascii="微软雅黑" w:hAnsi="微软雅黑" w:eastAsia="微软雅黑" w:cs="微软雅黑"/>
                <w:b w:val="0"/>
                <w:color w:val="000000"/>
                <w:sz w:val="20"/>
              </w:rPr>
              <w:t>jieba 分词 + WordCloud 词云</w:t>
            </w:r>
          </w:p>
        </w:tc>
      </w:tr>
      <w:tr w14:paraId="798E04BC">
        <w:tblPrEx>
          <w:tblBorders>
            <w:top w:val="single" w:color="2B579A" w:sz="6" w:space="0"/>
            <w:left w:val="single" w:color="2B579A" w:sz="6" w:space="0"/>
            <w:bottom w:val="single" w:color="2B579A" w:sz="6" w:space="0"/>
            <w:right w:val="single" w:color="2B579A" w:sz="6" w:space="0"/>
            <w:insideH w:val="single" w:color="CBCDD1" w:sz="6" w:space="0"/>
            <w:insideV w:val="single" w:color="CBCDD1" w:sz="6" w:space="0"/>
          </w:tblBorders>
          <w:tblCellMar>
            <w:top w:w="15" w:type="dxa"/>
            <w:left w:w="15" w:type="dxa"/>
            <w:bottom w:w="15" w:type="dxa"/>
            <w:right w:w="15" w:type="dxa"/>
          </w:tblCellMar>
        </w:tblPrEx>
        <w:trPr>
          <w:jc w:val="center"/>
        </w:trPr>
        <w:tc>
          <w:tcPr>
            <w:tcW w:w="1259" w:type="dxa"/>
            <w:tcBorders>
              <w:top w:val="nil"/>
              <w:left w:val="nil"/>
              <w:bottom w:val="single" w:color="9BBB59" w:sz="12" w:space="0"/>
              <w:right w:val="nil"/>
            </w:tcBorders>
            <w:shd w:val="clear" w:color="auto" w:fill="FFFFFF"/>
          </w:tcPr>
          <w:p w14:paraId="102684CE">
            <w:pPr>
              <w:jc w:val="center"/>
              <w:rPr>
                <w:rFonts w:hint="eastAsia" w:ascii="微软雅黑" w:hAnsi="微软雅黑" w:eastAsia="微软雅黑" w:cs="微软雅黑"/>
                <w:b w:val="0"/>
                <w:color w:val="000000"/>
                <w:sz w:val="20"/>
              </w:rPr>
            </w:pPr>
            <w:r>
              <w:rPr>
                <w:rFonts w:hint="eastAsia" w:ascii="微软雅黑" w:hAnsi="微软雅黑" w:eastAsia="微软雅黑" w:cs="微软雅黑"/>
                <w:b w:val="0"/>
                <w:color w:val="000000"/>
                <w:sz w:val="20"/>
              </w:rPr>
              <w:t>交互看板</w:t>
            </w:r>
          </w:p>
        </w:tc>
        <w:tc>
          <w:tcPr>
            <w:tcW w:w="4814" w:type="dxa"/>
            <w:tcBorders>
              <w:top w:val="nil"/>
              <w:left w:val="nil"/>
              <w:bottom w:val="single" w:color="9BBB59" w:sz="12" w:space="0"/>
              <w:right w:val="nil"/>
            </w:tcBorders>
            <w:shd w:val="clear" w:color="auto" w:fill="FFFFFF"/>
            <w:vAlign w:val="top"/>
          </w:tcPr>
          <w:p w14:paraId="1160243A">
            <w:pPr>
              <w:ind w:firstLine="200" w:firstLineChars="100"/>
              <w:jc w:val="both"/>
              <w:rPr>
                <w:rFonts w:hint="eastAsia" w:ascii="微软雅黑" w:hAnsi="微软雅黑" w:eastAsia="微软雅黑" w:cs="微软雅黑"/>
                <w:b w:val="0"/>
                <w:color w:val="000000"/>
                <w:sz w:val="20"/>
              </w:rPr>
            </w:pPr>
            <w:r>
              <w:rPr>
                <w:rFonts w:hint="eastAsia" w:ascii="微软雅黑" w:hAnsi="微软雅黑" w:eastAsia="微软雅黑" w:cs="微软雅黑"/>
                <w:b w:val="0"/>
                <w:color w:val="000000"/>
                <w:sz w:val="20"/>
              </w:rPr>
              <w:t>Power BI Desktop</w:t>
            </w:r>
          </w:p>
        </w:tc>
      </w:tr>
    </w:tbl>
    <w:p w14:paraId="12DBC14B">
      <w:pPr>
        <w:keepNext/>
        <w:keepLines/>
        <w:spacing w:before="100" w:beforeAutospacing="1" w:after="100" w:afterAutospacing="1"/>
        <w:outlineLvl w:val="1"/>
        <w:rPr>
          <w:sz w:val="32"/>
          <w:szCs w:val="32"/>
        </w:rPr>
      </w:pPr>
      <w:r>
        <w:rPr>
          <w:rFonts w:hint="eastAsia" w:ascii="微软雅黑" w:hAnsi="微软雅黑" w:eastAsia="微软雅黑" w:cs="微软雅黑"/>
          <w:b/>
          <w:sz w:val="28"/>
        </w:rPr>
        <w:t>项目交付物</w:t>
      </w:r>
    </w:p>
    <w:p w14:paraId="0B277341">
      <w:pPr>
        <w:numPr>
          <w:ilvl w:val="0"/>
          <w:numId w:val="1"/>
        </w:numPr>
      </w:pPr>
      <w:r>
        <w:rPr>
          <w:rFonts w:hint="eastAsia" w:ascii="微软雅黑" w:hAnsi="微软雅黑" w:eastAsia="微软雅黑" w:cs="微软雅黑"/>
          <w:sz w:val="21"/>
        </w:rPr>
        <w:t>原始数据集与清洗后数据集</w:t>
      </w:r>
    </w:p>
    <w:p w14:paraId="3D25A812">
      <w:pPr>
        <w:numPr>
          <w:ilvl w:val="0"/>
          <w:numId w:val="1"/>
        </w:numPr>
      </w:pPr>
      <w:r>
        <w:rPr>
          <w:rFonts w:hint="eastAsia" w:ascii="微软雅黑" w:hAnsi="微软雅黑" w:eastAsia="微软雅黑" w:cs="微软雅黑"/>
          <w:sz w:val="21"/>
        </w:rPr>
        <w:t>6 张核心可视化图表（品牌/价格/类型/产地/词云）</w:t>
      </w:r>
    </w:p>
    <w:p w14:paraId="46F882E5">
      <w:pPr>
        <w:numPr>
          <w:ilvl w:val="0"/>
          <w:numId w:val="1"/>
        </w:numPr>
      </w:pPr>
      <w:r>
        <w:rPr>
          <w:rFonts w:hint="eastAsia" w:ascii="微软雅黑" w:hAnsi="微软雅黑" w:eastAsia="微软雅黑" w:cs="微软雅黑"/>
          <w:sz w:val="21"/>
        </w:rPr>
        <w:t>Python 源码（采集、清洗、可视化，含完整注释）</w:t>
      </w:r>
    </w:p>
    <w:p w14:paraId="510A70DF">
      <w:pPr>
        <w:numPr>
          <w:ilvl w:val="0"/>
          <w:numId w:val="1"/>
        </w:numPr>
      </w:pPr>
      <w:r>
        <w:rPr>
          <w:rFonts w:hint="eastAsia" w:ascii="微软雅黑" w:hAnsi="微软雅黑" w:eastAsia="微软雅黑" w:cs="微软雅黑"/>
          <w:sz w:val="21"/>
        </w:rPr>
        <w:t>Power BI 交互分析看板</w:t>
      </w:r>
    </w:p>
    <w:p w14:paraId="4A0ADC16">
      <w:pPr>
        <w:keepNext/>
        <w:keepLines/>
        <w:spacing w:before="100" w:beforeAutospacing="1" w:after="100" w:afterAutospacing="1"/>
        <w:outlineLvl w:val="1"/>
        <w:rPr>
          <w:sz w:val="32"/>
          <w:szCs w:val="32"/>
        </w:rPr>
      </w:pPr>
      <w:r>
        <w:rPr>
          <w:rFonts w:hint="eastAsia" w:ascii="微软雅黑" w:hAnsi="微软雅黑" w:eastAsia="微软雅黑" w:cs="微软雅黑"/>
          <w:b/>
          <w:sz w:val="28"/>
        </w:rPr>
        <w:t>项目地址</w:t>
      </w:r>
    </w:p>
    <w:p w14:paraId="2EA4A1DD">
      <w:r>
        <w:rPr>
          <w:rFonts w:ascii="微软雅黑" w:hAnsi="微软雅黑" w:eastAsia="微软雅黑" w:cs="微软雅黑"/>
          <w:b/>
          <w:sz w:val="21"/>
        </w:rPr>
        <w:t>GitHub</w:t>
      </w:r>
      <w:r>
        <w:rPr>
          <w:rFonts w:hint="eastAsia" w:ascii="微软雅黑" w:hAnsi="微软雅黑" w:eastAsia="微软雅黑" w:cs="微软雅黑"/>
          <w:b/>
          <w:sz w:val="21"/>
          <w:lang w:eastAsia="zh-CN"/>
        </w:rPr>
        <w:t>：</w:t>
      </w:r>
      <w:bookmarkStart w:id="0" w:name="_GoBack"/>
      <w:bookmarkEnd w:id="0"/>
      <w:r>
        <w:rPr>
          <w:rFonts w:ascii="微软雅黑" w:hAnsi="微软雅黑" w:eastAsia="微软雅黑" w:cs="微软雅黑"/>
          <w:color w:val="0563C1"/>
          <w:sz w:val="21"/>
          <w:u w:val="single"/>
        </w:rPr>
        <w:t>https://github.com/MaoApril/taobao-laptop-analysis</w:t>
      </w:r>
    </w:p>
    <w:p w14:paraId="63ADC244">
      <w:pPr>
        <w:keepNext/>
        <w:keepLines/>
        <w:spacing w:before="100" w:beforeAutospacing="1" w:after="100" w:afterAutospacing="1"/>
        <w:outlineLvl w:val="1"/>
        <w:rPr>
          <w:sz w:val="32"/>
          <w:szCs w:val="32"/>
        </w:rPr>
      </w:pPr>
      <w:r>
        <w:rPr>
          <w:rFonts w:hint="eastAsia" w:ascii="微软雅黑" w:hAnsi="微软雅黑" w:eastAsia="微软雅黑" w:cs="微软雅黑"/>
          <w:b/>
          <w:sz w:val="28"/>
        </w:rPr>
        <w:t>联系方式</w:t>
      </w:r>
    </w:p>
    <w:p w14:paraId="247ED0E2">
      <w:r>
        <w:rPr>
          <w:rFonts w:hint="eastAsia" w:ascii="微软雅黑" w:hAnsi="微软雅黑" w:eastAsia="微软雅黑" w:cs="微软雅黑"/>
          <w:b/>
          <w:sz w:val="21"/>
        </w:rPr>
        <w:t>冒婷婷</w:t>
      </w:r>
      <w:r>
        <w:rPr>
          <w:rFonts w:hint="eastAsia" w:ascii="微软雅黑" w:hAnsi="微软雅黑" w:eastAsia="微软雅黑" w:cs="微软雅黑"/>
          <w:sz w:val="21"/>
        </w:rPr>
        <w:t xml:space="preserve"> | 数据分析师 | Base 深圳</w:t>
      </w:r>
    </w:p>
    <w:p w14:paraId="3E6B2D7A">
      <w:r>
        <w:rPr>
          <w:rFonts w:hint="eastAsia" w:ascii="微软雅黑" w:hAnsi="微软雅黑" w:eastAsia="微软雅黑" w:cs="微软雅黑"/>
          <w:sz w:val="21"/>
        </w:rPr>
        <w:t>邮箱：3486250452@qq.com</w:t>
      </w:r>
    </w:p>
    <w:p w14:paraId="48B2312C"/>
    <w:sectPr>
      <w:pgSz w:w="11906" w:h="16838"/>
      <w:pgMar w:top="1417" w:right="1800" w:bottom="1417" w:left="18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420"/>
  <w:compat>
    <w:spaceForUL/>
    <w:balanceSingleByteDoubleByteWidth/>
    <w:doNotLeaveBackslashAlone/>
    <w:ulTrailSpace/>
    <w:doNotExpandShiftReturn/>
    <w:adjustLineHeightInTable/>
    <w:useFELayout/>
    <w:compatSetting w:name="compatibilityMode" w:uri="http://schemas.microsoft.com/office/word" w:val="12"/>
  </w:compat>
  <w:rsids>
    <w:rsidRoot w:val="00000000"/>
    <w:rsid w:val="334F4237"/>
    <w:rsid w:val="4A4131A1"/>
    <w:rsid w:val="4B376B4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1050</Words>
  <Characters>1274</Characters>
  <TotalTime>7</TotalTime>
  <ScaleCrop>false</ScaleCrop>
  <LinksUpToDate>false</LinksUpToDate>
  <CharactersWithSpaces>1327</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2026-07-30T00:19:00Z</dcterms:created>
  <dc:creator>Mao</dc:creator>
  <cp:lastModifiedBy>柠柒</cp:lastModifiedBy>
  <dcterms:modified xsi:type="dcterms:W3CDTF">2026-07-29T16:29:12Z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eyJoZGlkIjoiNGU5YTk2NWU3OTRhNTU0YjZlNWE0ODExMjY4YzM0MTgiLCJ1c2VySWQiOiIxMjUwMTQzODYyIn0=</vt:lpwstr>
  </property>
  <property fmtid="{D5CDD505-2E9C-101B-9397-08002B2CF9AE}" pid="3" name="KSOProductBuildVer">
    <vt:lpwstr>2052-12.1.0.26895</vt:lpwstr>
  </property>
  <property fmtid="{D5CDD505-2E9C-101B-9397-08002B2CF9AE}" pid="4" name="ICV">
    <vt:lpwstr>F2A540757A89436CA32863FA326686BF_12</vt:lpwstr>
  </property>
</Properties>
</file>