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hint="eastAsia"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POP项目销售订单模块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销售订单明细清洗及寻仓管理</w:t>
      </w:r>
      <w:r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  <w:t>产品需求文档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14:textFill>
            <w14:solidFill>
              <w14:schemeClr w14:val="tx1"/>
            </w14:solidFill>
          </w14:textFill>
        </w:rPr>
      </w:pP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icrosoft YaHei UI" w:hAnsi="Microsoft YaHei UI" w:eastAsia="Microsoft YaHei UI" w:cs="Arial"/>
          <w:b/>
          <w:bCs/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Arial"/>
          <w:b/>
          <w:bCs/>
          <w:color w:val="000000" w:themeColor="text1"/>
          <w:kern w:val="0"/>
          <w14:textFill>
            <w14:solidFill>
              <w14:schemeClr w14:val="tx1"/>
            </w14:solidFill>
          </w14:textFill>
        </w:rPr>
        <w:t>文档版本</w:t>
      </w:r>
      <w:r>
        <w:rPr>
          <w:rFonts w:ascii="Microsoft YaHei UI" w:hAnsi="Microsoft YaHei UI" w:eastAsia="Microsoft YaHei UI" w:cs="Arial"/>
          <w:b/>
          <w:bCs/>
          <w:color w:val="000000" w:themeColor="text1"/>
          <w:kern w:val="0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Microsoft YaHei UI" w:hAnsi="Microsoft YaHei UI" w:eastAsia="Microsoft YaHei UI" w:cs="Arial"/>
          <w:b/>
          <w:bCs/>
          <w:color w:val="000000" w:themeColor="text1"/>
          <w:kern w:val="0"/>
          <w14:textFill>
            <w14:solidFill>
              <w14:schemeClr w14:val="tx1"/>
            </w14:solidFill>
          </w14:textFill>
        </w:rPr>
        <w:t>V1.0</w:t>
      </w:r>
    </w:p>
    <w:p>
      <w:pPr>
        <w:spacing w:line="278" w:lineRule="auto"/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28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559"/>
        <w:gridCol w:w="2835"/>
        <w:gridCol w:w="3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88" w:type="dxa"/>
            <w:shd w:val="clear" w:color="auto" w:fill="DAE9F7" w:themeFill="text2" w:themeFillTint="1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bookmarkStart w:id="0" w:name="_ruyvcb57nwo6" w:colFirst="0" w:colLast="0"/>
            <w:bookmarkEnd w:id="0"/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2835" w:type="dxa"/>
            <w:shd w:val="clear" w:color="auto" w:fill="DAE9F7" w:themeFill="text2" w:themeFillTint="1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作者/审阅者</w:t>
            </w:r>
          </w:p>
        </w:tc>
        <w:tc>
          <w:tcPr>
            <w:tcW w:w="3968" w:type="dxa"/>
            <w:shd w:val="clear" w:color="auto" w:fill="DAE9F7" w:themeFill="text2" w:themeFillTint="1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88" w:type="dx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1559" w:type="dxa"/>
            <w:vAlign w:val="center"/>
          </w:tcPr>
          <w:p>
            <w:pPr>
              <w:spacing w:after="0"/>
              <w:jc w:val="center"/>
              <w:rPr>
                <w:rFonts w:hint="eastAsia" w:ascii="Microsoft YaHei UI" w:hAnsi="Microsoft YaHei UI" w:eastAsia="Microsoft YaHei UI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2025/0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after="0"/>
              <w:jc w:val="center"/>
              <w:rPr>
                <w:rFonts w:hint="eastAsia" w:ascii="Microsoft YaHei UI" w:hAnsi="Microsoft YaHei UI" w:eastAsia="Microsoft YaHei UI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林芝</w:t>
            </w:r>
          </w:p>
        </w:tc>
        <w:tc>
          <w:tcPr>
            <w:tcW w:w="3968" w:type="dxa"/>
            <w:vAlign w:val="center"/>
          </w:tcPr>
          <w:p>
            <w:pPr>
              <w:keepNext/>
              <w:spacing w:after="0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初稿</w:t>
            </w:r>
          </w:p>
        </w:tc>
      </w:tr>
    </w:tbl>
    <w:p>
      <w:pP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sdt>
      <w:sdtPr>
        <w:rPr>
          <w:rFonts w:ascii="Microsoft YaHei UI" w:hAnsi="Microsoft YaHei UI" w:eastAsia="Microsoft YaHei UI" w:cstheme="minorBidi"/>
          <w:b w:val="0"/>
          <w:bCs w:val="0"/>
          <w:color w:val="auto"/>
          <w:kern w:val="2"/>
          <w:sz w:val="24"/>
          <w:szCs w:val="24"/>
          <w:lang w:eastAsia="zh-CN"/>
          <w14:ligatures w14:val="standardContextual"/>
        </w:rPr>
        <w:id w:val="-419556613"/>
        <w:docPartObj>
          <w:docPartGallery w:val="Table of Contents"/>
          <w:docPartUnique/>
        </w:docPartObj>
      </w:sdtPr>
      <w:sdtEndPr>
        <w:rPr>
          <w:rFonts w:ascii="Microsoft YaHei UI" w:hAnsi="Microsoft YaHei UI" w:eastAsia="Microsoft YaHei UI" w:cstheme="minorBidi"/>
          <w:b w:val="0"/>
          <w:bCs w:val="0"/>
          <w:color w:val="auto"/>
          <w:kern w:val="2"/>
          <w:sz w:val="24"/>
          <w:szCs w:val="24"/>
          <w:lang w:eastAsia="zh-CN"/>
          <w14:ligatures w14:val="standardContextual"/>
        </w:rPr>
      </w:sdtEndPr>
      <w:sdtContent>
        <w:p>
          <w:pPr>
            <w:pStyle w:val="53"/>
            <w:numPr>
              <w:ilvl w:val="0"/>
              <w:numId w:val="0"/>
            </w:numPr>
            <w:ind w:left="432"/>
            <w:rPr>
              <w:rFonts w:ascii="Microsoft YaHei UI" w:hAnsi="Microsoft YaHei UI" w:eastAsia="Microsoft YaHei UI"/>
              <w:sz w:val="32"/>
              <w:szCs w:val="32"/>
              <w:lang w:eastAsia="zh-CN"/>
            </w:rPr>
          </w:pPr>
          <w:r>
            <w:rPr>
              <w:rFonts w:hint="eastAsia" w:ascii="Microsoft YaHei UI" w:hAnsi="Microsoft YaHei UI" w:eastAsia="Microsoft YaHei UI"/>
              <w:sz w:val="32"/>
              <w:szCs w:val="32"/>
              <w:lang w:eastAsia="zh-CN"/>
            </w:rPr>
            <w:t>目录</w:t>
          </w:r>
        </w:p>
        <w:p>
          <w:pPr>
            <w:pStyle w:val="18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TOC \o "1-4" \h \z \u </w:instrText>
          </w:r>
          <w:r>
            <w:rPr>
              <w:rFonts w:ascii="Microsoft YaHei UI" w:hAnsi="Microsoft YaHei UI" w:eastAsia="Microsoft YaHei UI"/>
              <w:i/>
              <w:iC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Microsoft YaHei UI" w:hAnsi="Microsoft YaHei UI" w:eastAsia="Microsoft YaHei UI"/>
              <w:i/>
              <w:iC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 w:val="0"/>
            </w:rPr>
            <w:instrText xml:space="preserve"> HYPERLINK \l _Toc11739 </w:instrText>
          </w:r>
          <w:r>
            <w:rPr>
              <w:rFonts w:ascii="Microsoft YaHei UI" w:hAnsi="Microsoft YaHei UI" w:eastAsia="Microsoft YaHei UI"/>
              <w:i/>
              <w:iCs w:val="0"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1 </w:t>
          </w:r>
          <w:r>
            <w:rPr>
              <w:rFonts w:hint="eastAsia" w:ascii="Microsoft YaHei UI" w:hAnsi="Microsoft YaHei UI" w:eastAsia="Microsoft YaHei UI"/>
            </w:rPr>
            <w:t>模块概述</w:t>
          </w:r>
          <w:r>
            <w:tab/>
          </w:r>
          <w:r>
            <w:fldChar w:fldCharType="begin"/>
          </w:r>
          <w:r>
            <w:instrText xml:space="preserve"> PAGEREF _Toc11739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 w:val="0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_Toc7637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1.1 </w:t>
          </w:r>
          <w:r>
            <w:rPr>
              <w:rFonts w:hint="eastAsia" w:ascii="Microsoft YaHei UI" w:hAnsi="Microsoft YaHei UI" w:eastAsia="Microsoft YaHei UI"/>
              <w:lang w:val="en-US" w:eastAsia="zh-CN"/>
            </w:rPr>
            <w:t>采购申请订单管理流程</w:t>
          </w:r>
          <w:r>
            <w:rPr>
              <w:rFonts w:hint="eastAsia" w:ascii="Microsoft YaHei UI" w:hAnsi="Microsoft YaHei UI" w:eastAsia="Microsoft YaHei UI"/>
            </w:rPr>
            <w:t>图</w:t>
          </w:r>
          <w:r>
            <w:tab/>
          </w:r>
          <w:r>
            <w:fldChar w:fldCharType="begin"/>
          </w:r>
          <w:r>
            <w:instrText xml:space="preserve"> PAGEREF _Toc7637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_Toc22329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1.2 </w:t>
          </w:r>
          <w:r>
            <w:rPr>
              <w:rFonts w:hint="eastAsia" w:ascii="Microsoft YaHei UI" w:hAnsi="Microsoft YaHei UI" w:eastAsia="Microsoft YaHei UI"/>
            </w:rPr>
            <w:t>模块覆盖业务场景</w:t>
          </w:r>
          <w:r>
            <w:tab/>
          </w:r>
          <w:r>
            <w:fldChar w:fldCharType="begin"/>
          </w:r>
          <w:r>
            <w:instrText xml:space="preserve"> PAGEREF _Toc22329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_Toc22982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1.3 </w:t>
          </w:r>
          <w:r>
            <w:rPr>
              <w:rFonts w:hint="eastAsia" w:ascii="Microsoft YaHei UI" w:hAnsi="Microsoft YaHei UI" w:eastAsia="Microsoft YaHei UI"/>
            </w:rPr>
            <w:t>模块业务用户</w:t>
          </w:r>
          <w:r>
            <w:tab/>
          </w:r>
          <w:r>
            <w:fldChar w:fldCharType="begin"/>
          </w:r>
          <w:r>
            <w:instrText xml:space="preserve"> PAGEREF _Toc22982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_Toc9705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1.4 </w:t>
          </w:r>
          <w:r>
            <w:rPr>
              <w:rFonts w:hint="eastAsia" w:ascii="Microsoft YaHei UI" w:hAnsi="Microsoft YaHei UI" w:eastAsia="Microsoft YaHei UI"/>
            </w:rPr>
            <w:t>模块涉及集成系统</w:t>
          </w:r>
          <w:r>
            <w:tab/>
          </w:r>
          <w:r>
            <w:fldChar w:fldCharType="begin"/>
          </w:r>
          <w:r>
            <w:instrText xml:space="preserve"> PAGEREF _Toc9705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8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_Toc26192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 </w:t>
          </w:r>
          <w:r>
            <w:rPr>
              <w:rFonts w:hint="eastAsia" w:ascii="Microsoft YaHei UI" w:hAnsi="Microsoft YaHei UI" w:eastAsia="Microsoft YaHei UI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_Toc26192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23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_Toc5656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 </w:t>
          </w:r>
          <w:r>
            <w:rPr>
              <w:rFonts w:hint="eastAsia" w:ascii="Microsoft YaHei UI" w:hAnsi="Microsoft YaHei UI" w:eastAsia="Microsoft YaHei UI"/>
              <w:lang w:val="en-US" w:eastAsia="zh-CN"/>
            </w:rPr>
            <w:t>采购申请</w:t>
          </w:r>
          <w:r>
            <w:rPr>
              <w:rFonts w:hint="eastAsia" w:ascii="Microsoft YaHei UI" w:hAnsi="Microsoft YaHei UI" w:eastAsia="Microsoft YaHei UI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_Toc5656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4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_Toc21882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2.1.1 </w:t>
          </w:r>
          <w:r>
            <w:rPr>
              <w:rFonts w:hint="eastAsia" w:ascii="Microsoft YaHei UI" w:hAnsi="Microsoft YaHei UI" w:eastAsia="Microsoft YaHei UI"/>
              <w:lang w:val="en-US" w:eastAsia="zh-CN"/>
            </w:rPr>
            <w:t>订单明细清洗</w:t>
          </w:r>
          <w:r>
            <w:tab/>
          </w:r>
          <w:r>
            <w:fldChar w:fldCharType="begin"/>
          </w:r>
          <w:r>
            <w:instrText xml:space="preserve"> PAGEREF _Toc21882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_Toc1558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2.1.1.1 </w:t>
          </w:r>
          <w:r>
            <w:rPr>
              <w:rFonts w:hint="eastAsia" w:ascii="Microsoft YaHei UI" w:hAnsi="Microsoft YaHei UI" w:eastAsia="Microsoft YaHei UI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_Toc1558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_Toc22314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2.1.1.2 </w:t>
          </w:r>
          <w:r>
            <w:rPr>
              <w:rFonts w:hint="eastAsia" w:ascii="Microsoft YaHei UI" w:hAnsi="Microsoft YaHei UI" w:eastAsia="Microsoft YaHei UI"/>
            </w:rPr>
            <w:t>系统流程图</w:t>
          </w:r>
          <w:r>
            <w:tab/>
          </w:r>
          <w:r>
            <w:fldChar w:fldCharType="begin"/>
          </w:r>
          <w:r>
            <w:instrText xml:space="preserve"> PAGEREF _Toc22314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_Toc28065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2.1.1.3 </w:t>
          </w:r>
          <w:r>
            <w:rPr>
              <w:rFonts w:hint="eastAsia" w:ascii="Microsoft YaHei UI" w:hAnsi="Microsoft YaHei UI" w:eastAsia="Microsoft YaHei UI"/>
            </w:rPr>
            <w:t>系统规则设计</w:t>
          </w:r>
          <w:r>
            <w:tab/>
          </w:r>
          <w:r>
            <w:fldChar w:fldCharType="begin"/>
          </w:r>
          <w:r>
            <w:instrText xml:space="preserve"> PAGEREF _Toc28065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_Toc13783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2.1.1.4 </w:t>
          </w:r>
          <w:r>
            <w:rPr>
              <w:rFonts w:hint="eastAsia" w:ascii="Microsoft YaHei UI" w:hAnsi="Microsoft YaHei UI" w:eastAsia="Microsoft YaHei UI"/>
            </w:rPr>
            <w:t>界面原型设计</w:t>
          </w:r>
          <w:r>
            <w:tab/>
          </w:r>
          <w:r>
            <w:fldChar w:fldCharType="begin"/>
          </w:r>
          <w:r>
            <w:instrText xml:space="preserve"> PAGEREF _Toc13783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_Toc90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2.1.1.5 </w:t>
          </w:r>
          <w:r>
            <w:rPr>
              <w:rFonts w:hint="eastAsia" w:ascii="Microsoft YaHei UI" w:hAnsi="Microsoft YaHei UI" w:eastAsia="Microsoft YaHei UI"/>
              <w:highlight w:val="none"/>
            </w:rPr>
            <w:t>界面事件设计</w:t>
          </w:r>
          <w:r>
            <w:tab/>
          </w:r>
          <w:r>
            <w:fldChar w:fldCharType="begin"/>
          </w:r>
          <w:r>
            <w:instrText xml:space="preserve"> PAGEREF _Toc90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_Toc9614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2.1.1.6 </w:t>
          </w:r>
          <w:r>
            <w:rPr>
              <w:rFonts w:hint="eastAsia" w:ascii="Microsoft YaHei UI" w:hAnsi="Microsoft YaHei UI" w:eastAsia="Microsoft YaHei UI"/>
              <w:highlight w:val="none"/>
            </w:rPr>
            <w:t>系统字段设计</w:t>
          </w:r>
          <w:r>
            <w:tab/>
          </w:r>
          <w:r>
            <w:fldChar w:fldCharType="begin"/>
          </w:r>
          <w:r>
            <w:instrText xml:space="preserve"> PAGEREF _Toc9614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_Toc7462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2.1.1.7 </w:t>
          </w:r>
          <w:r>
            <w:rPr>
              <w:rFonts w:hint="eastAsia" w:ascii="Microsoft YaHei UI" w:hAnsi="Microsoft YaHei UI" w:eastAsia="Microsoft YaHei UI"/>
            </w:rPr>
            <w:t>审批流及审批规则设计</w:t>
          </w:r>
          <w:r>
            <w:tab/>
          </w:r>
          <w:r>
            <w:fldChar w:fldCharType="begin"/>
          </w:r>
          <w:r>
            <w:instrText xml:space="preserve"> PAGEREF _Toc7462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_Toc24690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2.1.1.8 </w:t>
          </w:r>
          <w:r>
            <w:rPr>
              <w:rFonts w:hint="eastAsia" w:ascii="Microsoft YaHei UI" w:hAnsi="Microsoft YaHei UI" w:eastAsia="Microsoft YaHei UI"/>
            </w:rPr>
            <w:t>系统权限设计</w:t>
          </w:r>
          <w:r>
            <w:tab/>
          </w:r>
          <w:r>
            <w:fldChar w:fldCharType="begin"/>
          </w:r>
          <w:r>
            <w:instrText xml:space="preserve"> PAGEREF _Toc24690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4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_Toc14661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2.1.2 </w:t>
          </w:r>
          <w:r>
            <w:rPr>
              <w:rFonts w:hint="eastAsia" w:ascii="Microsoft YaHei UI" w:hAnsi="Microsoft YaHei UI" w:eastAsia="Microsoft YaHei UI"/>
              <w:highlight w:val="none"/>
              <w:lang w:val="en-US" w:eastAsia="zh-CN"/>
            </w:rPr>
            <w:t>寻仓管理</w:t>
          </w:r>
          <w:r>
            <w:tab/>
          </w:r>
          <w:r>
            <w:fldChar w:fldCharType="begin"/>
          </w:r>
          <w:r>
            <w:instrText xml:space="preserve"> PAGEREF _Toc14661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_Toc9177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2.1.2.1 </w:t>
          </w:r>
          <w:r>
            <w:rPr>
              <w:rFonts w:hint="eastAsia" w:ascii="Microsoft YaHei UI" w:hAnsi="Microsoft YaHei UI" w:eastAsia="Microsoft YaHei UI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_Toc9177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_Toc11616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2.1.2.2 </w:t>
          </w:r>
          <w:r>
            <w:rPr>
              <w:rFonts w:hint="eastAsia" w:ascii="Microsoft YaHei UI" w:hAnsi="Microsoft YaHei UI" w:eastAsia="Microsoft YaHei UI"/>
            </w:rPr>
            <w:t>系统流程图</w:t>
          </w:r>
          <w:r>
            <w:tab/>
          </w:r>
          <w:r>
            <w:fldChar w:fldCharType="begin"/>
          </w:r>
          <w:r>
            <w:instrText xml:space="preserve"> PAGEREF _Toc11616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_Toc31670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>2.1.2.3</w:t>
          </w:r>
          <w:r>
            <w:rPr>
              <w:rFonts w:hint="default" w:ascii="Microsoft YaHei UI" w:hAnsi="Microsoft YaHei UI" w:eastAsia="Microsoft YaHei UI"/>
              <w:highlight w:val="none"/>
            </w:rPr>
            <w:t xml:space="preserve"> </w:t>
          </w:r>
          <w:r>
            <w:rPr>
              <w:rFonts w:hint="eastAsia" w:ascii="Microsoft YaHei UI" w:hAnsi="Microsoft YaHei UI" w:eastAsia="Microsoft YaHei UI"/>
              <w:highlight w:val="none"/>
            </w:rPr>
            <w:t>系统规则设计</w:t>
          </w:r>
          <w:r>
            <w:tab/>
          </w:r>
          <w:r>
            <w:fldChar w:fldCharType="begin"/>
          </w:r>
          <w:r>
            <w:instrText xml:space="preserve"> PAGEREF _Toc31670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_Toc15334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2.1.2.4 </w:t>
          </w:r>
          <w:r>
            <w:rPr>
              <w:rFonts w:hint="eastAsia" w:ascii="Microsoft YaHei UI" w:hAnsi="Microsoft YaHei UI" w:eastAsia="Microsoft YaHei UI"/>
              <w:highlight w:val="none"/>
            </w:rPr>
            <w:t>界面原型设计</w:t>
          </w:r>
          <w:r>
            <w:tab/>
          </w:r>
          <w:r>
            <w:fldChar w:fldCharType="begin"/>
          </w:r>
          <w:r>
            <w:instrText xml:space="preserve"> PAGEREF _Toc15334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_Toc30193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2.1.2.5 </w:t>
          </w:r>
          <w:r>
            <w:rPr>
              <w:rFonts w:hint="eastAsia" w:ascii="Microsoft YaHei UI" w:hAnsi="Microsoft YaHei UI" w:eastAsia="Microsoft YaHei UI"/>
              <w:highlight w:val="none"/>
            </w:rPr>
            <w:t>界面事件设计</w:t>
          </w:r>
          <w:r>
            <w:tab/>
          </w:r>
          <w:r>
            <w:fldChar w:fldCharType="begin"/>
          </w:r>
          <w:r>
            <w:instrText xml:space="preserve"> PAGEREF _Toc30193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_Toc9068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2.1.2.6 </w:t>
          </w:r>
          <w:r>
            <w:rPr>
              <w:rFonts w:hint="eastAsia" w:ascii="Microsoft YaHei UI" w:hAnsi="Microsoft YaHei UI" w:eastAsia="Microsoft YaHei UI"/>
            </w:rPr>
            <w:t>系统字段设计</w:t>
          </w:r>
          <w:r>
            <w:tab/>
          </w:r>
          <w:r>
            <w:fldChar w:fldCharType="begin"/>
          </w:r>
          <w:r>
            <w:instrText xml:space="preserve"> PAGEREF _Toc9068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_Toc26072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2.1.2.7 </w:t>
          </w:r>
          <w:r>
            <w:rPr>
              <w:rFonts w:hint="eastAsia" w:ascii="Microsoft YaHei UI" w:hAnsi="Microsoft YaHei UI" w:eastAsia="Microsoft YaHei UI"/>
            </w:rPr>
            <w:t>审批流及审批规则设计</w:t>
          </w:r>
          <w:r>
            <w:tab/>
          </w:r>
          <w:r>
            <w:fldChar w:fldCharType="begin"/>
          </w:r>
          <w:r>
            <w:instrText xml:space="preserve"> PAGEREF _Toc26072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_Toc25835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</w:rPr>
            <w:t xml:space="preserve">2.1.2.8 </w:t>
          </w:r>
          <w:r>
            <w:rPr>
              <w:rFonts w:hint="eastAsia" w:ascii="Microsoft YaHei UI" w:hAnsi="Microsoft YaHei UI" w:eastAsia="Microsoft YaHei UI"/>
            </w:rPr>
            <w:t>系统权限设计</w:t>
          </w:r>
          <w:r>
            <w:tab/>
          </w:r>
          <w:r>
            <w:fldChar w:fldCharType="begin"/>
          </w:r>
          <w:r>
            <w:instrText xml:space="preserve"> PAGEREF _Toc25835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4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_Toc24536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  <w:lang w:val="en-US" w:eastAsia="zh-CN"/>
            </w:rPr>
            <w:t xml:space="preserve">2.1.3 </w:t>
          </w:r>
          <w:r>
            <w:rPr>
              <w:rFonts w:hint="eastAsia" w:ascii="Microsoft YaHei UI" w:hAnsi="Microsoft YaHei UI" w:eastAsia="Microsoft YaHei UI"/>
              <w:lang w:val="en-US" w:eastAsia="zh-CN"/>
            </w:rPr>
            <w:t>延迟规则</w:t>
          </w:r>
          <w:r>
            <w:tab/>
          </w:r>
          <w:r>
            <w:fldChar w:fldCharType="begin"/>
          </w:r>
          <w:r>
            <w:instrText xml:space="preserve"> PAGEREF _Toc24536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_Toc25875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  <w:lang w:val="en-US" w:eastAsia="zh-CN"/>
            </w:rPr>
            <w:t xml:space="preserve">2.1.3.1 </w:t>
          </w:r>
          <w:r>
            <w:rPr>
              <w:rFonts w:hint="eastAsia" w:ascii="Microsoft YaHei UI" w:hAnsi="Microsoft YaHei UI" w:eastAsia="Microsoft YaHei UI"/>
              <w:lang w:val="en-US" w:eastAsia="zh-CN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_Toc25875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_Toc6158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  <w:lang w:val="en-US" w:eastAsia="zh-CN"/>
            </w:rPr>
            <w:t xml:space="preserve">2.1.3.2 </w:t>
          </w:r>
          <w:r>
            <w:rPr>
              <w:rFonts w:hint="eastAsia" w:ascii="Microsoft YaHei UI" w:hAnsi="Microsoft YaHei UI" w:eastAsia="Microsoft YaHei UI"/>
              <w:lang w:val="en-US" w:eastAsia="zh-CN"/>
            </w:rPr>
            <w:t>系统流程图</w:t>
          </w:r>
          <w:r>
            <w:tab/>
          </w:r>
          <w:r>
            <w:fldChar w:fldCharType="begin"/>
          </w:r>
          <w:r>
            <w:instrText xml:space="preserve"> PAGEREF _Toc6158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_Toc2313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  <w:lang w:val="en-US" w:eastAsia="zh-CN"/>
            </w:rPr>
            <w:t xml:space="preserve">2.1.3.3 </w:t>
          </w:r>
          <w:r>
            <w:rPr>
              <w:rFonts w:hint="eastAsia" w:ascii="Microsoft YaHei UI" w:hAnsi="Microsoft YaHei UI" w:eastAsia="Microsoft YaHei UI"/>
              <w:highlight w:val="none"/>
              <w:lang w:val="en-US" w:eastAsia="zh-CN"/>
            </w:rPr>
            <w:t>系统规则设计</w:t>
          </w:r>
          <w:r>
            <w:tab/>
          </w:r>
          <w:r>
            <w:fldChar w:fldCharType="begin"/>
          </w:r>
          <w:r>
            <w:instrText xml:space="preserve"> PAGEREF _Toc2313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_Toc25217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  <w:lang w:val="en-US" w:eastAsia="zh-CN"/>
            </w:rPr>
            <w:t xml:space="preserve">2.1.3.4 </w:t>
          </w:r>
          <w:r>
            <w:rPr>
              <w:rFonts w:hint="eastAsia" w:ascii="Microsoft YaHei UI" w:hAnsi="Microsoft YaHei UI" w:eastAsia="Microsoft YaHei UI"/>
              <w:highlight w:val="none"/>
              <w:lang w:val="en-US" w:eastAsia="zh-CN"/>
            </w:rPr>
            <w:t>界面原型设计</w:t>
          </w:r>
          <w:r>
            <w:tab/>
          </w:r>
          <w:r>
            <w:fldChar w:fldCharType="begin"/>
          </w:r>
          <w:r>
            <w:instrText xml:space="preserve"> PAGEREF _Toc25217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_Toc12878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  <w:lang w:val="en-US" w:eastAsia="zh-CN"/>
            </w:rPr>
            <w:t xml:space="preserve">2.1.3.5 </w:t>
          </w:r>
          <w:r>
            <w:rPr>
              <w:rFonts w:hint="eastAsia" w:ascii="Microsoft YaHei UI" w:hAnsi="Microsoft YaHei UI" w:eastAsia="Microsoft YaHei UI"/>
              <w:highlight w:val="none"/>
              <w:lang w:val="en-US" w:eastAsia="zh-CN"/>
            </w:rPr>
            <w:t>界面事件设计</w:t>
          </w:r>
          <w:r>
            <w:tab/>
          </w:r>
          <w:r>
            <w:fldChar w:fldCharType="begin"/>
          </w:r>
          <w:r>
            <w:instrText xml:space="preserve"> PAGEREF _Toc12878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_Toc18940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  <w:lang w:val="en-US" w:eastAsia="zh-CN"/>
            </w:rPr>
            <w:t xml:space="preserve">2.1.3.6 </w:t>
          </w:r>
          <w:r>
            <w:rPr>
              <w:rFonts w:hint="eastAsia" w:ascii="Microsoft YaHei UI" w:hAnsi="Microsoft YaHei UI" w:eastAsia="Microsoft YaHei UI"/>
              <w:lang w:val="en-US" w:eastAsia="zh-CN"/>
            </w:rPr>
            <w:t>系统字段设计</w:t>
          </w:r>
          <w:r>
            <w:tab/>
          </w:r>
          <w:r>
            <w:fldChar w:fldCharType="begin"/>
          </w:r>
          <w:r>
            <w:instrText xml:space="preserve"> PAGEREF _Toc18940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_Toc23199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  <w:lang w:val="en-US" w:eastAsia="zh-CN"/>
            </w:rPr>
            <w:t xml:space="preserve">2.1.3.7 </w:t>
          </w:r>
          <w:r>
            <w:rPr>
              <w:rFonts w:hint="eastAsia" w:ascii="Microsoft YaHei UI" w:hAnsi="Microsoft YaHei UI" w:eastAsia="Microsoft YaHei UI"/>
              <w:lang w:val="en-US" w:eastAsia="zh-CN"/>
            </w:rPr>
            <w:t>审批流及审批规则设计</w:t>
          </w:r>
          <w:r>
            <w:tab/>
          </w:r>
          <w:r>
            <w:fldChar w:fldCharType="begin"/>
          </w:r>
          <w:r>
            <w:instrText xml:space="preserve"> PAGEREF _Toc23199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pStyle w:val="19"/>
            <w:tabs>
              <w:tab w:val="right" w:leader="dot" w:pos="9360"/>
            </w:tabs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Microsoft YaHei UI" w:hAnsi="Microsoft YaHei UI" w:eastAsia="Microsoft YaHei UI"/>
              <w:i/>
              <w:iCs/>
            </w:rPr>
            <w:instrText xml:space="preserve"> HYPERLINK \l _Toc6882 </w:instrText>
          </w:r>
          <w:r>
            <w:rPr>
              <w:rFonts w:ascii="Microsoft YaHei UI" w:hAnsi="Microsoft YaHei UI" w:eastAsia="Microsoft YaHei UI"/>
              <w:i/>
              <w:iCs/>
            </w:rPr>
            <w:fldChar w:fldCharType="separate"/>
          </w:r>
          <w:r>
            <w:rPr>
              <w:rFonts w:hint="default" w:ascii="Microsoft YaHei UI" w:hAnsi="Microsoft YaHei UI" w:eastAsia="Microsoft YaHei UI"/>
              <w:lang w:val="en-US" w:eastAsia="zh-CN"/>
            </w:rPr>
            <w:t xml:space="preserve">2.1.3.8 </w:t>
          </w:r>
          <w:r>
            <w:rPr>
              <w:rFonts w:hint="eastAsia" w:ascii="Microsoft YaHei UI" w:hAnsi="Microsoft YaHei UI" w:eastAsia="Microsoft YaHei UI"/>
              <w:lang w:val="en-US" w:eastAsia="zh-CN"/>
            </w:rPr>
            <w:t>系统权限设计</w:t>
          </w:r>
          <w:r>
            <w:tab/>
          </w:r>
          <w:r>
            <w:fldChar w:fldCharType="begin"/>
          </w:r>
          <w:r>
            <w:instrText xml:space="preserve"> PAGEREF _Toc6882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>
          <w:pPr>
            <w:rPr>
              <w:rFonts w:ascii="Microsoft YaHei UI" w:hAnsi="Microsoft YaHei UI" w:eastAsia="Microsoft YaHei U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Microsoft YaHei UI" w:hAnsi="Microsoft YaHei UI" w:eastAsia="Microsoft YaHei UI"/>
              <w:i/>
              <w:i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>
      <w:pPr>
        <w:spacing w:line="278" w:lineRule="auto"/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x8ppl4cpp90m" w:colFirst="0" w:colLast="0"/>
      <w:bookmarkEnd w:id="1"/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>
      <w:pPr>
        <w:pStyle w:val="2"/>
        <w:rPr>
          <w:rFonts w:ascii="Microsoft YaHei UI" w:hAnsi="Microsoft YaHei UI" w:eastAsia="Microsoft YaHei UI"/>
        </w:rPr>
      </w:pPr>
      <w:bookmarkStart w:id="2" w:name="_Toc11739"/>
      <w:r>
        <w:rPr>
          <w:rFonts w:hint="eastAsia" w:ascii="Microsoft YaHei UI" w:hAnsi="Microsoft YaHei UI" w:eastAsia="Microsoft YaHei UI"/>
        </w:rPr>
        <w:t>模块概述</w:t>
      </w:r>
      <w:bookmarkEnd w:id="2"/>
    </w:p>
    <w:p>
      <w:pPr>
        <w:pStyle w:val="3"/>
        <w:rPr>
          <w:rFonts w:ascii="Microsoft YaHei UI" w:hAnsi="Microsoft YaHei UI" w:eastAsia="Microsoft YaHei UI"/>
        </w:rPr>
      </w:pPr>
      <w:bookmarkStart w:id="3" w:name="_Toc7637"/>
      <w:r>
        <w:rPr>
          <w:rFonts w:hint="eastAsia" w:ascii="Microsoft YaHei UI" w:hAnsi="Microsoft YaHei UI" w:eastAsia="Microsoft YaHei UI"/>
          <w:lang w:val="en-US" w:eastAsia="zh-CN"/>
        </w:rPr>
        <w:t>采购申请订单管理流程</w:t>
      </w:r>
      <w:r>
        <w:rPr>
          <w:rFonts w:hint="eastAsia" w:ascii="Microsoft YaHei UI" w:hAnsi="Microsoft YaHei UI" w:eastAsia="Microsoft YaHei UI"/>
        </w:rPr>
        <w:t>图</w:t>
      </w:r>
      <w:bookmarkEnd w:id="3"/>
    </w:p>
    <w:p>
      <w:r>
        <w:drawing>
          <wp:inline distT="0" distB="0" distL="114300" distR="114300">
            <wp:extent cx="5943600" cy="3343275"/>
            <wp:effectExtent l="0" t="0" r="4445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43600" cy="3343275"/>
            <wp:effectExtent l="0" t="0" r="4445" b="317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Microsoft YaHei UI" w:hAnsi="Microsoft YaHei UI" w:eastAsia="Microsoft YaHei UI"/>
        </w:rPr>
      </w:pPr>
      <w:bookmarkStart w:id="4" w:name="_Toc22329"/>
      <w:r>
        <w:rPr>
          <w:rFonts w:hint="eastAsia" w:ascii="Microsoft YaHei UI" w:hAnsi="Microsoft YaHei UI" w:eastAsia="Microsoft YaHei UI"/>
        </w:rPr>
        <w:t>模块覆盖业务场景</w:t>
      </w:r>
      <w:bookmarkEnd w:id="4"/>
    </w:p>
    <w:tbl>
      <w:tblPr>
        <w:tblStyle w:val="28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268"/>
        <w:gridCol w:w="63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D1D1D1" w:themeFill="background2" w:themeFillShade="E6"/>
            <w:vAlign w:val="center"/>
          </w:tcPr>
          <w:p>
            <w:pPr>
              <w:spacing w:after="0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268" w:type="dxa"/>
            <w:shd w:val="clear" w:color="auto" w:fill="D1D1D1" w:themeFill="background2" w:themeFillShade="E6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业务场景</w:t>
            </w:r>
          </w:p>
        </w:tc>
        <w:tc>
          <w:tcPr>
            <w:tcW w:w="6378" w:type="dxa"/>
            <w:shd w:val="clear" w:color="auto" w:fill="D1D1D1" w:themeFill="background2" w:themeFillShade="E6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场景说明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268" w:type="dxa"/>
            <w:vAlign w:val="center"/>
          </w:tcPr>
          <w:p>
            <w:pPr>
              <w:keepNext/>
              <w:spacing w:after="0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订单明细清洗</w:t>
            </w:r>
          </w:p>
        </w:tc>
        <w:tc>
          <w:tcPr>
            <w:tcW w:w="6378" w:type="dxa"/>
            <w:vAlign w:val="center"/>
          </w:tcPr>
          <w:p>
            <w:pPr>
              <w:keepNext/>
              <w:spacing w:after="0"/>
              <w:rPr>
                <w:rFonts w:hint="eastAsia" w:ascii="Microsoft YaHei UI" w:hAnsi="Microsoft YaHei UI" w:eastAsia="Microsoft YaHei UI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对订单进行前置校验，校验内容包括主数据是否存在、主数据状态（商品停供 / 停售）、价格方案、危险品识别、延迟处理、最小起订量 / 最小订购金额等，过滤无效或异常订单。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268" w:type="dxa"/>
            <w:vAlign w:val="center"/>
          </w:tcPr>
          <w:p>
            <w:pPr>
              <w:keepNext/>
              <w:spacing w:after="0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寻仓规则分配</w:t>
            </w:r>
          </w:p>
        </w:tc>
        <w:tc>
          <w:tcPr>
            <w:tcW w:w="6378" w:type="dxa"/>
            <w:vAlign w:val="center"/>
          </w:tcPr>
          <w:p>
            <w:pPr>
              <w:keepNext/>
              <w:spacing w:after="0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基于寻仓策略进行订单分配，支持按订单优先级、计划交货日期、提交到 POP 的时间、经销商对应的前置库进行智能分仓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after="0"/>
              <w:jc w:val="center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268" w:type="dxa"/>
            <w:vAlign w:val="center"/>
          </w:tcPr>
          <w:p>
            <w:pPr>
              <w:keepNext/>
              <w:spacing w:after="0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外采/自制件缺货协同处理</w:t>
            </w:r>
          </w:p>
        </w:tc>
        <w:tc>
          <w:tcPr>
            <w:tcW w:w="6378" w:type="dxa"/>
            <w:vAlign w:val="center"/>
          </w:tcPr>
          <w:p>
            <w:pPr>
              <w:keepNext/>
              <w:spacing w:after="0"/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寻仓无库存且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自动根据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物料属性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判断下发到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BOD 订单界面（按需采购），生成缺货明细（带上订单标识），由计划模块判断生成采购申请明细及数量，触发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采购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流程。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after="0"/>
              <w:jc w:val="center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268" w:type="dxa"/>
            <w:vAlign w:val="center"/>
          </w:tcPr>
          <w:p>
            <w:pPr>
              <w:keepNext/>
              <w:spacing w:after="0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特殊订单延迟分配</w:t>
            </w:r>
          </w:p>
        </w:tc>
        <w:tc>
          <w:tcPr>
            <w:tcW w:w="6378" w:type="dxa"/>
            <w:vAlign w:val="center"/>
          </w:tcPr>
          <w:p>
            <w:pPr>
              <w:keepNext/>
              <w:spacing w:after="0"/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针对特殊订单类型执行延迟策略，订单虽按寻仓规则提前分配，但可根据订单交期较远、数量较大等条件，执行延迟分配，优化库存资源使用效率。</w:t>
            </w:r>
          </w:p>
        </w:tc>
      </w:tr>
    </w:tbl>
    <w:p>
      <w:pPr>
        <w:pStyle w:val="3"/>
        <w:rPr>
          <w:rFonts w:ascii="Microsoft YaHei UI" w:hAnsi="Microsoft YaHei UI" w:eastAsia="Microsoft YaHei UI"/>
        </w:rPr>
      </w:pPr>
      <w:bookmarkStart w:id="5" w:name="_Toc22982"/>
      <w:r>
        <w:rPr>
          <w:rFonts w:hint="eastAsia" w:ascii="Microsoft YaHei UI" w:hAnsi="Microsoft YaHei UI" w:eastAsia="Microsoft YaHei UI"/>
        </w:rPr>
        <w:t>模块业务用户</w:t>
      </w:r>
      <w:bookmarkEnd w:id="5"/>
    </w:p>
    <w:tbl>
      <w:tblPr>
        <w:tblStyle w:val="28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410"/>
        <w:gridCol w:w="62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D1D1D1" w:themeFill="background2" w:themeFillShade="E6"/>
            <w:vAlign w:val="center"/>
          </w:tcPr>
          <w:p>
            <w:pPr>
              <w:spacing w:after="0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410" w:type="dxa"/>
            <w:shd w:val="clear" w:color="auto" w:fill="D1D1D1" w:themeFill="background2" w:themeFillShade="E6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业务用户</w:t>
            </w:r>
          </w:p>
        </w:tc>
        <w:tc>
          <w:tcPr>
            <w:tcW w:w="6236" w:type="dxa"/>
            <w:shd w:val="clear" w:color="auto" w:fill="D1D1D1" w:themeFill="background2" w:themeFillShade="E6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业务描述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410" w:type="dxa"/>
            <w:vAlign w:val="center"/>
          </w:tcPr>
          <w:p>
            <w:pPr>
              <w:keepNext/>
              <w:spacing w:after="0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调度员</w:t>
            </w:r>
          </w:p>
        </w:tc>
        <w:tc>
          <w:tcPr>
            <w:tcW w:w="6236" w:type="dxa"/>
            <w:vAlign w:val="center"/>
          </w:tcPr>
          <w:p>
            <w:pPr>
              <w:keepNext/>
              <w:spacing w:after="0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寻仓有库存的订单手动下发到仓储模块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</w:tbl>
    <w:p>
      <w:pPr>
        <w:pStyle w:val="3"/>
        <w:rPr>
          <w:rFonts w:ascii="Microsoft YaHei UI" w:hAnsi="Microsoft YaHei UI" w:eastAsia="Microsoft YaHei UI"/>
        </w:rPr>
      </w:pPr>
      <w:bookmarkStart w:id="6" w:name="_Toc9705"/>
      <w:r>
        <w:rPr>
          <w:rFonts w:hint="eastAsia" w:ascii="Microsoft YaHei UI" w:hAnsi="Microsoft YaHei UI" w:eastAsia="Microsoft YaHei UI"/>
        </w:rPr>
        <w:t>模块涉及集成系统</w:t>
      </w:r>
      <w:bookmarkEnd w:id="6"/>
    </w:p>
    <w:tbl>
      <w:tblPr>
        <w:tblStyle w:val="28"/>
        <w:tblW w:w="93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695"/>
        <w:gridCol w:w="59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704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695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集成系统</w:t>
            </w:r>
          </w:p>
        </w:tc>
        <w:tc>
          <w:tcPr>
            <w:tcW w:w="5957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对应功能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95" w:type="dxa"/>
            <w:vAlign w:val="center"/>
          </w:tcPr>
          <w:p>
            <w:pPr>
              <w:spacing w:after="0"/>
              <w:jc w:val="center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DSC</w:t>
            </w:r>
          </w:p>
        </w:tc>
        <w:tc>
          <w:tcPr>
            <w:tcW w:w="5957" w:type="dxa"/>
            <w:vAlign w:val="center"/>
          </w:tcPr>
          <w:p>
            <w:pPr>
              <w:keepNext/>
              <w:spacing w:after="0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外采物料寻仓无库存的采购申请接收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695" w:type="dxa"/>
            <w:vAlign w:val="center"/>
          </w:tcPr>
          <w:p>
            <w:pPr>
              <w:spacing w:after="0"/>
              <w:jc w:val="center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SCP</w:t>
            </w:r>
          </w:p>
        </w:tc>
        <w:tc>
          <w:tcPr>
            <w:tcW w:w="5957" w:type="dxa"/>
            <w:vAlign w:val="center"/>
          </w:tcPr>
          <w:p>
            <w:pPr>
              <w:keepNext/>
              <w:spacing w:after="0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自制件且上线新SAP的主机厂寻仓无库存的采购申请接收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after="0"/>
              <w:jc w:val="center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695" w:type="dxa"/>
            <w:vAlign w:val="center"/>
          </w:tcPr>
          <w:p>
            <w:pPr>
              <w:spacing w:after="0"/>
              <w:jc w:val="center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老SAP</w:t>
            </w:r>
          </w:p>
        </w:tc>
        <w:tc>
          <w:tcPr>
            <w:tcW w:w="5957" w:type="dxa"/>
            <w:vAlign w:val="center"/>
          </w:tcPr>
          <w:p>
            <w:pPr>
              <w:keepNext/>
              <w:spacing w:after="0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自制件且老SAP的主机厂寻仓无库存的采购申请接收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</w:tbl>
    <w:p>
      <w:pPr>
        <w:pStyle w:val="2"/>
        <w:rPr>
          <w:rFonts w:ascii="Microsoft YaHei UI" w:hAnsi="Microsoft YaHei UI" w:eastAsia="Microsoft YaHei UI"/>
        </w:rPr>
      </w:pPr>
      <w:bookmarkStart w:id="7" w:name="_tq6nnbu6lvj8" w:colFirst="0" w:colLast="0"/>
      <w:bookmarkEnd w:id="7"/>
      <w:bookmarkStart w:id="8" w:name="_Toc26192"/>
      <w:r>
        <w:rPr>
          <w:rFonts w:hint="eastAsia" w:ascii="Microsoft YaHei UI" w:hAnsi="Microsoft YaHei UI" w:eastAsia="Microsoft YaHei UI"/>
        </w:rPr>
        <w:t>功能描述</w:t>
      </w:r>
      <w:bookmarkEnd w:id="8"/>
    </w:p>
    <w:p>
      <w:pPr>
        <w:pStyle w:val="3"/>
        <w:rPr>
          <w:rFonts w:ascii="Microsoft YaHei UI" w:hAnsi="Microsoft YaHei UI" w:eastAsia="Microsoft YaHei UI"/>
        </w:rPr>
      </w:pPr>
      <w:bookmarkStart w:id="9" w:name="_Toc5656"/>
      <w:r>
        <w:rPr>
          <w:rFonts w:hint="eastAsia" w:ascii="Microsoft YaHei UI" w:hAnsi="Microsoft YaHei UI" w:eastAsia="Microsoft YaHei UI"/>
          <w:lang w:val="en-US" w:eastAsia="zh-CN"/>
        </w:rPr>
        <w:t>采购申请</w:t>
      </w:r>
      <w:r>
        <w:rPr>
          <w:rFonts w:hint="eastAsia" w:ascii="Microsoft YaHei UI" w:hAnsi="Microsoft YaHei UI" w:eastAsia="Microsoft YaHei UI"/>
        </w:rPr>
        <w:t>管理</w:t>
      </w:r>
      <w:bookmarkEnd w:id="9"/>
    </w:p>
    <w:p>
      <w:pPr>
        <w:pStyle w:val="4"/>
        <w:rPr>
          <w:rFonts w:hint="eastAsia" w:ascii="Microsoft YaHei UI" w:hAnsi="Microsoft YaHei UI" w:eastAsia="Microsoft YaHei UI"/>
        </w:rPr>
      </w:pPr>
      <w:bookmarkStart w:id="10" w:name="_Toc21882"/>
      <w:r>
        <w:rPr>
          <w:rFonts w:hint="eastAsia" w:ascii="Microsoft YaHei UI" w:hAnsi="Microsoft YaHei UI" w:eastAsia="Microsoft YaHei UI"/>
          <w:lang w:val="en-US" w:eastAsia="zh-CN"/>
        </w:rPr>
        <w:t>订单明细清洗</w:t>
      </w:r>
      <w:bookmarkEnd w:id="10"/>
    </w:p>
    <w:p>
      <w:pPr>
        <w:pStyle w:val="5"/>
        <w:rPr>
          <w:rFonts w:ascii="Microsoft YaHei UI" w:hAnsi="Microsoft YaHei UI" w:eastAsia="Microsoft YaHei UI"/>
        </w:rPr>
      </w:pPr>
      <w:bookmarkStart w:id="11" w:name="_Toc181176875"/>
      <w:bookmarkStart w:id="12" w:name="_Toc1558"/>
      <w:r>
        <w:rPr>
          <w:rFonts w:hint="eastAsia" w:ascii="Microsoft YaHei UI" w:hAnsi="Microsoft YaHei UI" w:eastAsia="Microsoft YaHei UI"/>
        </w:rPr>
        <w:t>功能描述</w:t>
      </w:r>
      <w:bookmarkEnd w:id="11"/>
      <w:bookmarkEnd w:id="12"/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系统在订单处理流程中，对订单行数据进行前置校验与清洗。校验维度包括：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主数据有效性校验：判断物料主数据是否存在，以及主数据状态（商品停供、停售）是否正常；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业务规则校验：验证价格方案有效性、危险品物料识别、延迟处理规则匹配；</w:t>
      </w:r>
    </w:p>
    <w:p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  <w:sz w:val="24"/>
          <w:szCs w:val="24"/>
          <w:lang w:val="en-US" w:eastAsia="zh-CN"/>
        </w:rPr>
        <w:t>订单直投校验：检查订单行是否满足最小起订量 / 最小订购金额要求。 通过清洗过滤无效、异常订单行，确保进入后续流程的订单数据合规、完整。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可配置，后续各主机厂根据情况配置；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pStyle w:val="5"/>
        <w:rPr>
          <w:rFonts w:ascii="Microsoft YaHei UI" w:hAnsi="Microsoft YaHei UI" w:eastAsia="Microsoft YaHei UI"/>
        </w:rPr>
      </w:pPr>
      <w:bookmarkStart w:id="13" w:name="_Toc181176876"/>
      <w:bookmarkStart w:id="14" w:name="_Toc22314"/>
      <w:r>
        <w:rPr>
          <w:rFonts w:hint="eastAsia" w:ascii="Microsoft YaHei UI" w:hAnsi="Microsoft YaHei UI" w:eastAsia="Microsoft YaHei UI"/>
        </w:rPr>
        <w:t>系统流程图</w:t>
      </w:r>
      <w:bookmarkEnd w:id="13"/>
      <w:bookmarkEnd w:id="14"/>
    </w:p>
    <w:p>
      <w:r>
        <w:drawing>
          <wp:inline distT="0" distB="0" distL="114300" distR="114300">
            <wp:extent cx="5943600" cy="334327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Microsoft YaHei UI" w:hAnsi="Microsoft YaHei UI" w:eastAsia="Microsoft YaHei UI"/>
        </w:rPr>
      </w:pPr>
      <w:bookmarkStart w:id="15" w:name="_Toc28065"/>
      <w:bookmarkStart w:id="16" w:name="_Toc181176877"/>
      <w:r>
        <w:rPr>
          <w:rFonts w:hint="eastAsia" w:ascii="Microsoft YaHei UI" w:hAnsi="Microsoft YaHei UI" w:eastAsia="Microsoft YaHei UI"/>
        </w:rPr>
        <w:t>系统规则设计</w:t>
      </w:r>
      <w:bookmarkEnd w:id="15"/>
      <w:bookmarkEnd w:id="16"/>
    </w:p>
    <w:tbl>
      <w:tblPr>
        <w:tblStyle w:val="28"/>
        <w:tblW w:w="93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6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8652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规则说明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704" w:type="dxa"/>
            <w:vAlign w:val="center"/>
          </w:tcPr>
          <w:p>
            <w:pPr>
              <w:spacing w:after="0" w:line="288" w:lineRule="auto"/>
              <w:jc w:val="center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652" w:type="dxa"/>
            <w:vAlign w:val="center"/>
          </w:tcPr>
          <w:p>
            <w:pPr>
              <w:numPr>
                <w:ilvl w:val="0"/>
                <w:numId w:val="0"/>
              </w:numPr>
              <w:spacing w:after="0" w:line="288" w:lineRule="auto"/>
              <w:ind w:left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订单审核通过后，进入到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「履约中心-订单池--销售订单界面」后，系统自动进行明细行校验，具体校验规则如下：</w:t>
            </w:r>
          </w:p>
          <w:p>
            <w:pPr>
              <w:numPr>
                <w:ilvl w:val="0"/>
                <w:numId w:val="3"/>
              </w:numPr>
              <w:spacing w:before="120" w:beforeLines="50" w:after="120" w:afterLines="50" w:line="288" w:lineRule="auto"/>
              <w:ind w:left="425" w:leftChars="0" w:hanging="425" w:firstLineChars="0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检查物料主数据是否存在，如不存在则将订单状态更新为&lt;订单暂挂&gt;，并将&lt;hold原因代码&gt;字段更新为&lt;零件主数据不存在&gt;；</w:t>
            </w:r>
          </w:p>
          <w:p>
            <w:pPr>
              <w:numPr>
                <w:ilvl w:val="0"/>
                <w:numId w:val="3"/>
              </w:numPr>
              <w:spacing w:before="120" w:beforeLines="50" w:after="120" w:afterLines="50" w:line="288" w:lineRule="auto"/>
              <w:ind w:left="425" w:leftChars="0" w:hanging="425" w:firstLineChars="0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检查物料主数据状态是否为停供、停售，如是则订单状态更新为&lt;订单暂挂&gt;，并将&lt;hold原因代码&gt;字段更新为&lt;零件状态异常&gt;；</w:t>
            </w:r>
          </w:p>
          <w:p>
            <w:pPr>
              <w:numPr>
                <w:ilvl w:val="0"/>
                <w:numId w:val="0"/>
              </w:numPr>
              <w:spacing w:after="0" w:line="288" w:lineRule="auto"/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配置说明：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以上校验规则支持可配置化，各主机厂可根据自身业务情况，灵活开启 / 关闭对应校验项。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704" w:type="dxa"/>
            <w:vAlign w:val="center"/>
          </w:tcPr>
          <w:p>
            <w:pPr>
              <w:spacing w:after="0" w:line="288" w:lineRule="auto"/>
              <w:jc w:val="center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17" w:name="_Toc181176878"/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652" w:type="dxa"/>
            <w:vAlign w:val="center"/>
          </w:tcPr>
          <w:p>
            <w:pPr>
              <w:numPr>
                <w:ilvl w:val="0"/>
                <w:numId w:val="0"/>
              </w:numPr>
              <w:spacing w:before="120" w:beforeLines="50" w:after="120" w:afterLines="50" w:line="288" w:lineRule="auto"/>
              <w:ind w:leftChars="0"/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延迟订单暂挂规则：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订单&lt;分销类型&gt;为&lt;外销&gt;且&lt;是否分批次发货&gt;字段为&lt;否&gt;时，将订单状态更新为&lt;订单暂挂&gt;，并将&lt;hold原因代码&gt;字段更新为&lt;外销订单零件延迟处理&gt;，进入到延迟订单界面，等后续达到订单明细最近交期时进行订单释放，在2.1.3章节详细说明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704" w:type="dxa"/>
            <w:vAlign w:val="center"/>
          </w:tcPr>
          <w:p>
            <w:pPr>
              <w:spacing w:after="0" w:line="288" w:lineRule="auto"/>
              <w:jc w:val="center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652" w:type="dxa"/>
            <w:vAlign w:val="center"/>
          </w:tcPr>
          <w:p>
            <w:pPr>
              <w:numPr>
                <w:ilvl w:val="0"/>
                <w:numId w:val="0"/>
              </w:numPr>
              <w:spacing w:before="120" w:beforeLines="50" w:after="120" w:afterLines="50" w:line="288" w:lineRule="auto"/>
              <w:ind w:leftChars="0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直投订单识别与处理：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当订单&lt;分销类型&gt;为&lt;内销&gt;且物料主数据带有直投标识时，且满足物料最低起订量，则订单判断为直投订单，进入到直投订单界面并生成采购申请下发DSC，详见直投订单需求说明书。</w:t>
            </w:r>
          </w:p>
        </w:tc>
      </w:tr>
    </w:tbl>
    <w:p>
      <w:pPr>
        <w:pStyle w:val="5"/>
        <w:rPr>
          <w:rFonts w:ascii="Microsoft YaHei UI" w:hAnsi="Microsoft YaHei UI" w:eastAsia="Microsoft YaHei UI"/>
        </w:rPr>
      </w:pPr>
      <w:bookmarkStart w:id="18" w:name="_Toc13783"/>
      <w:r>
        <w:rPr>
          <w:rFonts w:hint="eastAsia" w:ascii="Microsoft YaHei UI" w:hAnsi="Microsoft YaHei UI" w:eastAsia="Microsoft YaHei UI"/>
        </w:rPr>
        <w:t>界面原型设计</w:t>
      </w:r>
      <w:bookmarkEnd w:id="17"/>
      <w:bookmarkEnd w:id="18"/>
    </w:p>
    <w:p>
      <w:pPr>
        <w:numPr>
          <w:ilvl w:val="0"/>
          <w:numId w:val="4"/>
        </w:numPr>
        <w:ind w:left="425" w:leftChars="0" w:hanging="425" w:firstLineChars="0"/>
        <w:rPr>
          <w:rFonts w:hint="default" w:eastAsia="Microsoft YaHei UI"/>
          <w:lang w:val="en-US" w:eastAsia="zh-CN"/>
        </w:rPr>
      </w:pPr>
      <w:r>
        <w:rPr>
          <w:rFonts w:hint="eastAsia" w:ascii="Microsoft YaHei UI" w:hAnsi="Microsoft YaHei UI" w:eastAsia="Microsoft YaHei UI"/>
          <w:lang w:val="en-US" w:eastAsia="zh-CN"/>
        </w:rPr>
        <w:t>销售订单界面</w:t>
      </w:r>
    </w:p>
    <w:p>
      <w:r>
        <w:drawing>
          <wp:inline distT="0" distB="0" distL="114300" distR="114300">
            <wp:extent cx="5932805" cy="2924810"/>
            <wp:effectExtent l="0" t="0" r="4445" b="63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订单暂挂原因数据字典维护</w:t>
      </w:r>
    </w:p>
    <w:p>
      <w:r>
        <w:drawing>
          <wp:inline distT="0" distB="0" distL="114300" distR="114300">
            <wp:extent cx="5935345" cy="4457700"/>
            <wp:effectExtent l="0" t="0" r="1905" b="63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rPr>
          <w:rFonts w:ascii="Microsoft YaHei UI" w:hAnsi="Microsoft YaHei UI" w:eastAsia="Microsoft YaHei UI"/>
          <w:highlight w:val="none"/>
        </w:rPr>
      </w:pPr>
      <w:bookmarkStart w:id="19" w:name="_Toc181176879"/>
      <w:bookmarkStart w:id="20" w:name="_Toc90"/>
      <w:r>
        <w:rPr>
          <w:rFonts w:hint="eastAsia" w:ascii="Microsoft YaHei UI" w:hAnsi="Microsoft YaHei UI" w:eastAsia="Microsoft YaHei UI"/>
          <w:highlight w:val="none"/>
        </w:rPr>
        <w:t>界面事件设计</w:t>
      </w:r>
      <w:bookmarkEnd w:id="19"/>
      <w:bookmarkEnd w:id="20"/>
    </w:p>
    <w:p>
      <w:pPr>
        <w:pStyle w:val="47"/>
        <w:numPr>
          <w:ilvl w:val="0"/>
          <w:numId w:val="5"/>
        </w:numP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订单接收</w:t>
      </w:r>
    </w:p>
    <w:tbl>
      <w:tblPr>
        <w:tblStyle w:val="28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150"/>
        <w:gridCol w:w="3544"/>
        <w:gridCol w:w="2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0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50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用户动作</w:t>
            </w:r>
          </w:p>
        </w:tc>
        <w:tc>
          <w:tcPr>
            <w:tcW w:w="3544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系统动作</w:t>
            </w:r>
          </w:p>
        </w:tc>
        <w:tc>
          <w:tcPr>
            <w:tcW w:w="2977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事件逻辑规则描述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351" w:type="dxa"/>
            <w:gridSpan w:val="4"/>
            <w:shd w:val="clear" w:color="auto" w:fill="DAE9F7" w:themeFill="text2" w:themeFillTint="1A"/>
            <w:vAlign w:val="center"/>
          </w:tcPr>
          <w:p>
            <w:pPr>
              <w:spacing w:after="0"/>
              <w:jc w:val="both"/>
              <w:rPr>
                <w:rFonts w:hint="default" w:ascii="Microsoft YaHei UI" w:hAnsi="Microsoft YaHei UI" w:eastAsia="Microsoft YaHei UI" w:cs="等线"/>
                <w:b/>
                <w:bCs/>
                <w:color w:val="000000" w:themeColor="text1"/>
                <w:sz w:val="2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b/>
                <w:bCs/>
                <w:color w:val="000000" w:themeColor="text1"/>
                <w:sz w:val="2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订单提交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0" w:type="dx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spacing w:after="0"/>
              <w:rPr>
                <w:rFonts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无</w:t>
            </w:r>
            <w:r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3544" w:type="dxa"/>
            <w:vAlign w:val="center"/>
          </w:tcPr>
          <w:p>
            <w:pPr>
              <w:spacing w:after="0"/>
              <w:jc w:val="both"/>
              <w:rPr>
                <w:rFonts w:hint="default" w:ascii="Microsoft YaHei UI" w:hAnsi="Microsoft YaHei UI" w:eastAsia="Microsoft YaHei U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系统自动根据配置的订单明细清洗规则进行订单明细行清洗，若清洗失败则将订单暂挂，若清洗成功则进入下一流程。</w:t>
            </w:r>
          </w:p>
        </w:tc>
        <w:tc>
          <w:tcPr>
            <w:tcW w:w="2977" w:type="dxa"/>
            <w:vAlign w:val="center"/>
          </w:tcPr>
          <w:p>
            <w:pPr>
              <w:pStyle w:val="47"/>
              <w:numPr>
                <w:ilvl w:val="0"/>
                <w:numId w:val="6"/>
              </w:numPr>
              <w:spacing w:after="0"/>
              <w:ind w:left="170" w:hanging="170"/>
              <w:jc w:val="both"/>
              <w:rPr>
                <w:rFonts w:ascii="Microsoft YaHei UI" w:hAnsi="Microsoft YaHei UI" w:eastAsia="Microsoft YaHei UI" w:cs="等线"/>
                <w:color w:val="000000" w:themeColor="text1"/>
                <w:sz w:val="20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color w:val="000000" w:themeColor="text1"/>
                <w:sz w:val="20"/>
                <w:szCs w:val="22"/>
                <w14:textFill>
                  <w14:solidFill>
                    <w14:schemeClr w14:val="tx1"/>
                  </w14:solidFill>
                </w14:textFill>
              </w:rPr>
              <w:t>无；</w:t>
            </w:r>
          </w:p>
        </w:tc>
      </w:tr>
    </w:tbl>
    <w:p>
      <w:pPr>
        <w:pStyle w:val="5"/>
        <w:rPr>
          <w:rFonts w:ascii="Microsoft YaHei UI" w:hAnsi="Microsoft YaHei UI" w:eastAsia="Microsoft YaHei UI"/>
          <w:highlight w:val="none"/>
        </w:rPr>
      </w:pPr>
      <w:bookmarkStart w:id="21" w:name="_Toc181176880"/>
      <w:bookmarkStart w:id="22" w:name="_Toc9614"/>
      <w:r>
        <w:rPr>
          <w:rFonts w:hint="eastAsia" w:ascii="Microsoft YaHei UI" w:hAnsi="Microsoft YaHei UI" w:eastAsia="Microsoft YaHei UI"/>
          <w:highlight w:val="none"/>
        </w:rPr>
        <w:t>系统字段设计</w:t>
      </w:r>
      <w:bookmarkEnd w:id="21"/>
      <w:bookmarkEnd w:id="22"/>
    </w:p>
    <w:p>
      <w:pPr>
        <w:ind w:firstLine="360"/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无。</w:t>
      </w:r>
    </w:p>
    <w:p>
      <w:pPr>
        <w:ind w:firstLine="360"/>
        <w:rPr>
          <w:rFonts w:hint="default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5"/>
        <w:rPr>
          <w:rFonts w:ascii="Microsoft YaHei UI" w:hAnsi="Microsoft YaHei UI" w:eastAsia="Microsoft YaHei UI"/>
        </w:rPr>
      </w:pPr>
      <w:bookmarkStart w:id="23" w:name="_Toc7462"/>
      <w:bookmarkStart w:id="24" w:name="_Toc181176881"/>
      <w:r>
        <w:rPr>
          <w:rFonts w:hint="eastAsia" w:ascii="Microsoft YaHei UI" w:hAnsi="Microsoft YaHei UI" w:eastAsia="Microsoft YaHei UI"/>
        </w:rPr>
        <w:t>审批流及审批规则设计</w:t>
      </w:r>
      <w:bookmarkEnd w:id="23"/>
      <w:bookmarkEnd w:id="24"/>
    </w:p>
    <w:p>
      <w:pPr>
        <w:ind w:firstLine="360"/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无审批流。</w:t>
      </w:r>
    </w:p>
    <w:p>
      <w:pPr>
        <w:ind w:firstLine="360"/>
        <w:rPr>
          <w:rFonts w:hint="default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5"/>
        <w:rPr>
          <w:rFonts w:ascii="Microsoft YaHei UI" w:hAnsi="Microsoft YaHei UI" w:eastAsia="Microsoft YaHei UI"/>
        </w:rPr>
      </w:pPr>
      <w:bookmarkStart w:id="25" w:name="_Toc181176882"/>
      <w:bookmarkStart w:id="26" w:name="_Toc24690"/>
      <w:r>
        <w:rPr>
          <w:rFonts w:hint="eastAsia" w:ascii="Microsoft YaHei UI" w:hAnsi="Microsoft YaHei UI" w:eastAsia="Microsoft YaHei UI"/>
        </w:rPr>
        <w:t>系统权限设计</w:t>
      </w:r>
      <w:bookmarkEnd w:id="25"/>
      <w:bookmarkEnd w:id="26"/>
    </w:p>
    <w:p>
      <w:pPr>
        <w:ind w:firstLine="360"/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用户权限</w:t>
      </w: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设置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保持一致。</w:t>
      </w:r>
    </w:p>
    <w:p>
      <w:pPr>
        <w:spacing w:line="278" w:lineRule="auto"/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>
      <w:pPr>
        <w:pStyle w:val="4"/>
        <w:rPr>
          <w:rFonts w:ascii="Microsoft YaHei UI" w:hAnsi="Microsoft YaHei UI" w:eastAsia="Microsoft YaHei UI"/>
          <w:highlight w:val="none"/>
        </w:rPr>
      </w:pPr>
      <w:bookmarkStart w:id="27" w:name="_Toc14661"/>
      <w:r>
        <w:rPr>
          <w:rFonts w:hint="eastAsia" w:ascii="Microsoft YaHei UI" w:hAnsi="Microsoft YaHei UI" w:eastAsia="Microsoft YaHei UI"/>
          <w:highlight w:val="none"/>
          <w:lang w:val="en-US" w:eastAsia="zh-CN"/>
        </w:rPr>
        <w:t>寻仓管理</w:t>
      </w:r>
      <w:bookmarkEnd w:id="27"/>
    </w:p>
    <w:p>
      <w:pPr>
        <w:pStyle w:val="5"/>
        <w:rPr>
          <w:rFonts w:ascii="Microsoft YaHei UI" w:hAnsi="Microsoft YaHei UI" w:eastAsia="Microsoft YaHei UI"/>
        </w:rPr>
      </w:pPr>
      <w:bookmarkStart w:id="28" w:name="_Toc9177"/>
      <w:r>
        <w:rPr>
          <w:rFonts w:hint="eastAsia" w:ascii="Microsoft YaHei UI" w:hAnsi="Microsoft YaHei UI" w:eastAsia="Microsoft YaHei UI"/>
        </w:rPr>
        <w:t>功能描述</w:t>
      </w:r>
      <w:bookmarkEnd w:id="28"/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系统支持自定义寻仓规则，对有库存订单自动下发至仓储履约；对外采 / 自制件缺货订单分别触发采购申请或生产协同，实现订单从寻仓到履约的全流程处理。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pStyle w:val="5"/>
        <w:rPr>
          <w:rFonts w:ascii="Microsoft YaHei UI" w:hAnsi="Microsoft YaHei UI" w:eastAsia="Microsoft YaHei UI"/>
        </w:rPr>
      </w:pPr>
      <w:bookmarkStart w:id="29" w:name="_Toc11616"/>
      <w:r>
        <w:rPr>
          <w:rFonts w:hint="eastAsia" w:ascii="Microsoft YaHei UI" w:hAnsi="Microsoft YaHei UI" w:eastAsia="Microsoft YaHei UI"/>
        </w:rPr>
        <w:t>系统流程图</w:t>
      </w:r>
      <w:bookmarkEnd w:id="29"/>
    </w:p>
    <w:p>
      <w:r>
        <w:drawing>
          <wp:inline distT="0" distB="0" distL="114300" distR="114300">
            <wp:extent cx="5943600" cy="3343275"/>
            <wp:effectExtent l="0" t="0" r="444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rPr>
          <w:rFonts w:ascii="Microsoft YaHei UI" w:hAnsi="Microsoft YaHei UI" w:eastAsia="Microsoft YaHei UI"/>
          <w:highlight w:val="none"/>
        </w:rPr>
      </w:pPr>
      <w:bookmarkStart w:id="30" w:name="_Toc31670"/>
      <w:r>
        <w:rPr>
          <w:rFonts w:hint="eastAsia" w:ascii="Microsoft YaHei UI" w:hAnsi="Microsoft YaHei UI" w:eastAsia="Microsoft YaHei UI"/>
          <w:highlight w:val="none"/>
        </w:rPr>
        <w:t>系统规则设计</w:t>
      </w:r>
      <w:bookmarkEnd w:id="30"/>
    </w:p>
    <w:tbl>
      <w:tblPr>
        <w:tblStyle w:val="28"/>
        <w:tblW w:w="93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6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8652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规则说明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4" w:type="dxa"/>
            <w:vAlign w:val="center"/>
          </w:tcPr>
          <w:p>
            <w:pPr>
              <w:spacing w:after="0" w:line="288" w:lineRule="auto"/>
              <w:jc w:val="center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652" w:type="dxa"/>
            <w:vAlign w:val="center"/>
          </w:tcPr>
          <w:p>
            <w:pPr>
              <w:numPr>
                <w:ilvl w:val="0"/>
                <w:numId w:val="0"/>
              </w:numPr>
              <w:spacing w:after="0" w:line="288" w:lineRule="auto"/>
              <w:ind w:leftChars="0"/>
              <w:jc w:val="both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寻仓规则支持自定义灵活配置：</w:t>
            </w:r>
          </w:p>
          <w:p>
            <w:pPr>
              <w:numPr>
                <w:ilvl w:val="0"/>
                <w:numId w:val="7"/>
              </w:numPr>
              <w:spacing w:after="0" w:line="288" w:lineRule="auto"/>
              <w:ind w:left="425" w:leftChars="0" w:hanging="425" w:firstLineChars="0"/>
              <w:jc w:val="both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备件公司未成立时</w:t>
            </w:r>
          </w:p>
          <w:p>
            <w:pPr>
              <w:numPr>
                <w:ilvl w:val="0"/>
                <w:numId w:val="8"/>
              </w:numPr>
              <w:spacing w:after="0" w:line="288" w:lineRule="auto"/>
              <w:ind w:left="425" w:leftChars="0" w:hanging="425" w:firstLineChars="0"/>
              <w:jc w:val="both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按照订单优先级进行订单波次分配（优先级按照业务提供的订单类型配置表确定），详情见附件 </w:t>
            </w:r>
          </w:p>
          <w:p>
            <w:pPr>
              <w:numPr>
                <w:ilvl w:val="0"/>
                <w:numId w:val="8"/>
              </w:numPr>
              <w:spacing w:after="0" w:line="288" w:lineRule="auto"/>
              <w:ind w:left="425" w:leftChars="0" w:hanging="425" w:firstLineChars="0"/>
              <w:jc w:val="both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计划交货日期                             </w:t>
            </w:r>
          </w:p>
          <w:p>
            <w:pPr>
              <w:numPr>
                <w:ilvl w:val="0"/>
                <w:numId w:val="8"/>
              </w:numPr>
              <w:spacing w:after="0" w:line="288" w:lineRule="auto"/>
              <w:ind w:left="425" w:leftChars="0" w:hanging="425" w:firstLineChars="0"/>
              <w:jc w:val="both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提交到POP的时间</w:t>
            </w:r>
          </w:p>
          <w:p>
            <w:pPr>
              <w:numPr>
                <w:ilvl w:val="0"/>
                <w:numId w:val="8"/>
              </w:numPr>
              <w:spacing w:after="0" w:line="288" w:lineRule="auto"/>
              <w:ind w:left="425" w:leftChars="0" w:hanging="425" w:firstLineChars="0"/>
              <w:jc w:val="both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如经销商有对应前置库，则优先分配经销商对应的前置库库存。</w:t>
            </w:r>
            <w:bookmarkStart w:id="46" w:name="_GoBack"/>
            <w:bookmarkEnd w:id="46"/>
          </w:p>
          <w:p>
            <w:pPr>
              <w:numPr>
                <w:ilvl w:val="0"/>
                <w:numId w:val="0"/>
              </w:numPr>
              <w:spacing w:after="0" w:line="288" w:lineRule="auto"/>
              <w:ind w:leftChars="0"/>
              <w:jc w:val="both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配置说明：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以上校验规则支持可配置化，各主机厂可根据自身业务情况，灵活配置对应规则。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704" w:type="dxa"/>
            <w:vAlign w:val="center"/>
          </w:tcPr>
          <w:p>
            <w:pPr>
              <w:spacing w:after="0" w:line="288" w:lineRule="auto"/>
              <w:jc w:val="center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652" w:type="dxa"/>
            <w:vAlign w:val="center"/>
          </w:tcPr>
          <w:p>
            <w:pPr>
              <w:numPr>
                <w:ilvl w:val="0"/>
                <w:numId w:val="9"/>
              </w:numPr>
              <w:spacing w:before="120" w:beforeLines="50" w:after="120" w:afterLines="50" w:line="288" w:lineRule="auto"/>
              <w:ind w:left="425" w:leftChars="0" w:hanging="425" w:firstLineChars="0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寻仓无库存且物料属性为外采的销售订单，订单状态更新为「待备货」，自动进入 BOD 订单界面（更新为按需采购订单界面），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生成带订单标识的缺货明细。</w:t>
            </w:r>
          </w:p>
          <w:p>
            <w:pPr>
              <w:numPr>
                <w:ilvl w:val="0"/>
                <w:numId w:val="9"/>
              </w:numPr>
              <w:spacing w:before="120" w:beforeLines="50" w:after="120" w:afterLines="50" w:line="288" w:lineRule="auto"/>
              <w:ind w:left="425" w:leftChars="0" w:hanging="425" w:firstLineChars="0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由计划模块判断并生成采购申请明细及数量，触发外采采购流程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704" w:type="dxa"/>
            <w:vAlign w:val="center"/>
          </w:tcPr>
          <w:p>
            <w:pPr>
              <w:spacing w:after="0" w:line="288" w:lineRule="auto"/>
              <w:jc w:val="center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652" w:type="dxa"/>
            <w:vAlign w:val="center"/>
          </w:tcPr>
          <w:p>
            <w:pPr>
              <w:numPr>
                <w:ilvl w:val="0"/>
                <w:numId w:val="10"/>
              </w:numPr>
              <w:spacing w:before="120" w:beforeLines="50" w:after="120" w:afterLines="50" w:line="288" w:lineRule="auto"/>
              <w:ind w:left="425" w:leftChars="0" w:hanging="425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寻仓无库存且物料属性为自制件的销售订单，订单状态更新为「待备货」；自动进入 BOD 订单界面（更新为按需采购订单界面），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生成带订单标识的缺货明细。</w:t>
            </w:r>
          </w:p>
          <w:p>
            <w:pPr>
              <w:numPr>
                <w:ilvl w:val="0"/>
                <w:numId w:val="10"/>
              </w:numPr>
              <w:spacing w:before="120" w:beforeLines="50" w:after="120" w:afterLines="50" w:line="288" w:lineRule="auto"/>
              <w:ind w:left="425" w:leftChars="0" w:hanging="425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系统根据主机厂是否上线新 SAP 判断下发系统（可自定义配置）：已上线新 SAP 的下发 SCP 缺货信息，未上线新 SAP 的下发老 SAP 缺货信息，后续由老 SAP/SCP 进行排产协同，详细见采购流程需求说明书。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704" w:type="dxa"/>
            <w:vAlign w:val="center"/>
          </w:tcPr>
          <w:p>
            <w:pPr>
              <w:spacing w:after="0" w:line="288" w:lineRule="auto"/>
              <w:jc w:val="center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652" w:type="dxa"/>
            <w:vAlign w:val="center"/>
          </w:tcPr>
          <w:p>
            <w:pPr>
              <w:numPr>
                <w:ilvl w:val="0"/>
                <w:numId w:val="0"/>
              </w:numPr>
              <w:spacing w:before="120" w:beforeLines="50" w:after="120" w:afterLines="50" w:line="288" w:lineRule="auto"/>
              <w:ind w:left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延迟订单以订单整体交期为基准，当达到订单物料最长交期开始库存占用。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704" w:type="dxa"/>
            <w:vAlign w:val="center"/>
          </w:tcPr>
          <w:p>
            <w:pPr>
              <w:spacing w:after="0" w:line="288" w:lineRule="auto"/>
              <w:jc w:val="center"/>
              <w:rPr>
                <w:rFonts w:hint="default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8652" w:type="dxa"/>
            <w:vAlign w:val="center"/>
          </w:tcPr>
          <w:p>
            <w:pPr>
              <w:numPr>
                <w:ilvl w:val="0"/>
                <w:numId w:val="0"/>
              </w:numPr>
              <w:spacing w:before="120" w:beforeLines="50" w:after="120" w:afterLines="50" w:line="288" w:lineRule="auto"/>
              <w:ind w:lef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寻仓库存满足订单进入到进入订单池 - 待下发订单管理界面，支持定时任务自动下发（可配置开关），同时保留前期手工下发的操作入口；下发时自动生成出库指令，并同步下发至仓储模块出库单界面；订单下发成功后，系统自动更新订单池内的订单状态为「已下发」，驱动后续仓储履约流程。</w:t>
            </w:r>
          </w:p>
        </w:tc>
      </w:tr>
    </w:tbl>
    <w:p/>
    <w:p>
      <w:pPr>
        <w:pStyle w:val="5"/>
        <w:rPr>
          <w:rFonts w:ascii="Microsoft YaHei UI" w:hAnsi="Microsoft YaHei UI" w:eastAsia="Microsoft YaHei U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31" w:name="_Toc15334"/>
      <w:r>
        <w:rPr>
          <w:rFonts w:hint="eastAsia" w:ascii="Microsoft YaHei UI" w:hAnsi="Microsoft YaHei UI" w:eastAsia="Microsoft YaHei UI"/>
          <w:highlight w:val="none"/>
        </w:rPr>
        <w:t>界面原型设计</w:t>
      </w:r>
      <w:bookmarkEnd w:id="31"/>
    </w:p>
    <w:p>
      <w:pPr>
        <w:numPr>
          <w:ilvl w:val="0"/>
          <w:numId w:val="11"/>
        </w:numPr>
        <w:ind w:left="425" w:leftChars="0" w:hanging="425" w:firstLineChars="0"/>
        <w:rPr>
          <w:rFonts w:hint="default" w:eastAsia="Microsoft YaHei UI"/>
          <w:highlight w:val="none"/>
          <w:lang w:val="en-US" w:eastAsia="zh-CN"/>
        </w:rPr>
      </w:pPr>
      <w:r>
        <w:rPr>
          <w:rFonts w:hint="eastAsia" w:eastAsia="Microsoft YaHei UI"/>
          <w:highlight w:val="none"/>
          <w:lang w:val="en-US" w:eastAsia="zh-CN"/>
        </w:rPr>
        <w:t>自定义配置寻仓规则</w:t>
      </w:r>
    </w:p>
    <w:p>
      <w:r>
        <w:drawing>
          <wp:inline distT="0" distB="0" distL="114300" distR="114300">
            <wp:extent cx="5937250" cy="2778125"/>
            <wp:effectExtent l="0" t="0" r="0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按需采购订单界面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27725" cy="2557780"/>
            <wp:effectExtent l="0" t="0" r="9525" b="63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延迟订单界面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23280" cy="2557780"/>
            <wp:effectExtent l="0" t="0" r="3175" b="63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待寻仓订单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25820" cy="2409825"/>
            <wp:effectExtent l="0" t="0" r="635" b="825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待下发订单界面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7885" cy="2712085"/>
            <wp:effectExtent l="0" t="0" r="10160" b="825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5"/>
        <w:rPr>
          <w:rFonts w:ascii="Microsoft YaHei UI" w:hAnsi="Microsoft YaHei UI" w:eastAsia="Microsoft YaHei UI"/>
          <w:highlight w:val="none"/>
        </w:rPr>
      </w:pPr>
      <w:bookmarkStart w:id="32" w:name="_Toc30193"/>
      <w:r>
        <w:rPr>
          <w:rFonts w:hint="eastAsia" w:ascii="Microsoft YaHei UI" w:hAnsi="Microsoft YaHei UI" w:eastAsia="Microsoft YaHei UI"/>
          <w:highlight w:val="none"/>
        </w:rPr>
        <w:t>界面事件设计</w:t>
      </w:r>
      <w:bookmarkEnd w:id="32"/>
    </w:p>
    <w:tbl>
      <w:tblPr>
        <w:tblStyle w:val="28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150"/>
        <w:gridCol w:w="3544"/>
        <w:gridCol w:w="2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0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50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用户动作</w:t>
            </w:r>
          </w:p>
        </w:tc>
        <w:tc>
          <w:tcPr>
            <w:tcW w:w="3544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系统动作</w:t>
            </w:r>
          </w:p>
        </w:tc>
        <w:tc>
          <w:tcPr>
            <w:tcW w:w="2977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事件逻辑规则描述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351" w:type="dxa"/>
            <w:gridSpan w:val="4"/>
            <w:shd w:val="clear" w:color="auto" w:fill="DAE9F7" w:themeFill="text2" w:themeFillTint="1A"/>
            <w:vAlign w:val="center"/>
          </w:tcPr>
          <w:p>
            <w:pPr>
              <w:spacing w:after="0"/>
              <w:jc w:val="both"/>
              <w:rPr>
                <w:rFonts w:hint="default" w:ascii="Microsoft YaHei UI" w:hAnsi="Microsoft YaHei UI" w:eastAsia="Microsoft YaHei UI" w:cs="等线"/>
                <w:b/>
                <w:bCs/>
                <w:color w:val="000000" w:themeColor="text1"/>
                <w:sz w:val="2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b/>
                <w:bCs/>
                <w:color w:val="000000" w:themeColor="text1"/>
                <w:sz w:val="2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订单提交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0" w:type="dx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spacing w:after="0"/>
              <w:rPr>
                <w:rFonts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用户在寻仓规则界面点击新建按钮添加对应的寻仓规则</w:t>
            </w:r>
            <w:r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3544" w:type="dxa"/>
            <w:vAlign w:val="center"/>
          </w:tcPr>
          <w:p>
            <w:pPr>
              <w:spacing w:after="0"/>
              <w:jc w:val="both"/>
              <w:rPr>
                <w:rFonts w:hint="default" w:ascii="Microsoft YaHei UI" w:hAnsi="Microsoft YaHei UI" w:eastAsia="Microsoft YaHei U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寻仓规则详见上述系统规则设计。</w:t>
            </w:r>
          </w:p>
        </w:tc>
        <w:tc>
          <w:tcPr>
            <w:tcW w:w="2977" w:type="dxa"/>
            <w:vAlign w:val="center"/>
          </w:tcPr>
          <w:p>
            <w:pPr>
              <w:pStyle w:val="47"/>
              <w:numPr>
                <w:ilvl w:val="0"/>
                <w:numId w:val="6"/>
              </w:numPr>
              <w:spacing w:after="0"/>
              <w:ind w:left="170" w:hanging="170"/>
              <w:jc w:val="both"/>
              <w:rPr>
                <w:rFonts w:ascii="Microsoft YaHei UI" w:hAnsi="Microsoft YaHei UI" w:eastAsia="Microsoft YaHei UI" w:cs="等线"/>
                <w:color w:val="000000" w:themeColor="text1"/>
                <w:sz w:val="20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color w:val="000000" w:themeColor="text1"/>
                <w:sz w:val="20"/>
                <w:szCs w:val="22"/>
                <w14:textFill>
                  <w14:solidFill>
                    <w14:schemeClr w14:val="tx1"/>
                  </w14:solidFill>
                </w14:textFill>
              </w:rPr>
              <w:t>无；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0" w:type="dx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50" w:type="dxa"/>
            <w:vAlign w:val="center"/>
          </w:tcPr>
          <w:p>
            <w:pPr>
              <w:spacing w:after="0"/>
              <w:rPr>
                <w:rFonts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调度员在待下发订单界面点击&lt;下发&gt;按钮</w:t>
            </w:r>
            <w:r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3544" w:type="dxa"/>
            <w:vAlign w:val="center"/>
          </w:tcPr>
          <w:p>
            <w:pPr>
              <w:numPr>
                <w:ilvl w:val="0"/>
                <w:numId w:val="12"/>
              </w:numPr>
              <w:spacing w:after="0"/>
              <w:jc w:val="both"/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定时任务可自动下发（做成配置开关）</w:t>
            </w:r>
          </w:p>
          <w:p>
            <w:pPr>
              <w:numPr>
                <w:ilvl w:val="0"/>
                <w:numId w:val="12"/>
              </w:numPr>
              <w:spacing w:after="0"/>
              <w:jc w:val="both"/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前期手工下发生成出库指令，并下发到仓储模块出库单界面；已下发的订单更新订单池订单状态为&lt;已下发&gt;。</w:t>
            </w:r>
          </w:p>
        </w:tc>
        <w:tc>
          <w:tcPr>
            <w:tcW w:w="2977" w:type="dxa"/>
            <w:vAlign w:val="center"/>
          </w:tcPr>
          <w:p>
            <w:pPr>
              <w:pStyle w:val="47"/>
              <w:numPr>
                <w:ilvl w:val="0"/>
                <w:numId w:val="6"/>
              </w:numPr>
              <w:spacing w:after="0"/>
              <w:ind w:left="170" w:hanging="170"/>
              <w:jc w:val="both"/>
              <w:rPr>
                <w:rFonts w:ascii="Microsoft YaHei UI" w:hAnsi="Microsoft YaHei UI" w:eastAsia="Microsoft YaHei UI" w:cs="等线"/>
                <w:color w:val="000000" w:themeColor="text1"/>
                <w:sz w:val="20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color w:val="000000" w:themeColor="text1"/>
                <w:sz w:val="20"/>
                <w:szCs w:val="22"/>
                <w14:textFill>
                  <w14:solidFill>
                    <w14:schemeClr w14:val="tx1"/>
                  </w14:solidFill>
                </w14:textFill>
              </w:rPr>
              <w:t>无；</w:t>
            </w:r>
          </w:p>
        </w:tc>
      </w:tr>
    </w:tbl>
    <w:p/>
    <w:p>
      <w:pPr>
        <w:pStyle w:val="5"/>
        <w:rPr>
          <w:rFonts w:ascii="Microsoft YaHei UI" w:hAnsi="Microsoft YaHei UI" w:eastAsia="Microsoft YaHei UI"/>
        </w:rPr>
      </w:pPr>
      <w:bookmarkStart w:id="33" w:name="_Toc9068"/>
      <w:r>
        <w:rPr>
          <w:rFonts w:hint="eastAsia" w:ascii="Microsoft YaHei UI" w:hAnsi="Microsoft YaHei UI" w:eastAsia="Microsoft YaHei UI"/>
        </w:rPr>
        <w:t>系统字段设计</w:t>
      </w:r>
      <w:bookmarkEnd w:id="33"/>
    </w:p>
    <w:p>
      <w:pPr>
        <w:ind w:firstLine="360"/>
        <w:rPr>
          <w:rFonts w:hint="default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无。</w:t>
      </w:r>
    </w:p>
    <w:p/>
    <w:p>
      <w:pPr>
        <w:pStyle w:val="5"/>
        <w:rPr>
          <w:rFonts w:ascii="Microsoft YaHei UI" w:hAnsi="Microsoft YaHei UI" w:eastAsia="Microsoft YaHei UI"/>
        </w:rPr>
      </w:pPr>
      <w:bookmarkStart w:id="34" w:name="_Toc26072"/>
      <w:r>
        <w:rPr>
          <w:rFonts w:hint="eastAsia" w:ascii="Microsoft YaHei UI" w:hAnsi="Microsoft YaHei UI" w:eastAsia="Microsoft YaHei UI"/>
        </w:rPr>
        <w:t>审批流及审批规则设计</w:t>
      </w:r>
      <w:bookmarkEnd w:id="34"/>
    </w:p>
    <w:p>
      <w:pPr>
        <w:ind w:firstLine="360"/>
        <w:rPr>
          <w:rFonts w:hint="default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无审批流。</w:t>
      </w:r>
    </w:p>
    <w:p>
      <w:pP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5"/>
        <w:rPr>
          <w:rFonts w:ascii="Microsoft YaHei UI" w:hAnsi="Microsoft YaHei UI" w:eastAsia="Microsoft YaHei UI"/>
        </w:rPr>
      </w:pPr>
      <w:bookmarkStart w:id="35" w:name="_Toc25835"/>
      <w:r>
        <w:rPr>
          <w:rFonts w:hint="eastAsia" w:ascii="Microsoft YaHei UI" w:hAnsi="Microsoft YaHei UI" w:eastAsia="Microsoft YaHei UI"/>
        </w:rPr>
        <w:t>系统权限设计</w:t>
      </w:r>
      <w:bookmarkEnd w:id="35"/>
    </w:p>
    <w:p>
      <w:pPr>
        <w:ind w:firstLine="360"/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用户权限</w:t>
      </w: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设置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保持一致。</w:t>
      </w:r>
    </w:p>
    <w:p>
      <w:pPr>
        <w:ind w:firstLine="360"/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"/>
        <w:rPr>
          <w:rFonts w:hint="default" w:ascii="Microsoft YaHei UI" w:hAnsi="Microsoft YaHei UI" w:eastAsia="Microsoft YaHei UI"/>
          <w:lang w:val="en-US" w:eastAsia="zh-CN"/>
        </w:rPr>
      </w:pPr>
      <w:bookmarkStart w:id="36" w:name="_Toc24536"/>
      <w:r>
        <w:rPr>
          <w:rFonts w:hint="eastAsia" w:ascii="Microsoft YaHei UI" w:hAnsi="Microsoft YaHei UI" w:eastAsia="Microsoft YaHei UI"/>
          <w:lang w:val="en-US" w:eastAsia="zh-CN"/>
        </w:rPr>
        <w:t>延迟规则</w:t>
      </w:r>
      <w:bookmarkEnd w:id="36"/>
    </w:p>
    <w:p>
      <w:pPr>
        <w:pStyle w:val="5"/>
        <w:rPr>
          <w:rFonts w:hint="eastAsia" w:ascii="Microsoft YaHei UI" w:hAnsi="Microsoft YaHei UI" w:eastAsia="Microsoft YaHei UI"/>
          <w:lang w:val="en-US" w:eastAsia="zh-CN"/>
        </w:rPr>
      </w:pPr>
      <w:bookmarkStart w:id="37" w:name="_Toc25875"/>
      <w:r>
        <w:rPr>
          <w:rFonts w:hint="eastAsia" w:ascii="Microsoft YaHei UI" w:hAnsi="Microsoft YaHei UI" w:eastAsia="Microsoft YaHei UI"/>
          <w:lang w:val="en-US" w:eastAsia="zh-CN"/>
        </w:rPr>
        <w:t>功能描述</w:t>
      </w:r>
      <w:bookmarkEnd w:id="37"/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支持针对特殊订单类型配置延迟分配策略。当订单交期较远、订购数量较大时，即使寻仓规则已匹配到可分配库存，也可根据预设策略延迟库存分配动作，优先保障高优先级、交期紧迫订单的库存资源，优化整体库存周转效率与履约率。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pStyle w:val="5"/>
        <w:rPr>
          <w:rFonts w:hint="eastAsia" w:ascii="Microsoft YaHei UI" w:hAnsi="Microsoft YaHei UI" w:eastAsia="Microsoft YaHei UI"/>
          <w:lang w:val="en-US" w:eastAsia="zh-CN"/>
        </w:rPr>
      </w:pPr>
      <w:bookmarkStart w:id="38" w:name="_Toc6158"/>
      <w:r>
        <w:rPr>
          <w:rFonts w:hint="eastAsia" w:ascii="Microsoft YaHei UI" w:hAnsi="Microsoft YaHei UI" w:eastAsia="Microsoft YaHei UI"/>
          <w:lang w:val="en-US" w:eastAsia="zh-CN"/>
        </w:rPr>
        <w:t>系统流程图</w:t>
      </w:r>
      <w:bookmarkEnd w:id="38"/>
    </w:p>
    <w:p>
      <w:r>
        <w:drawing>
          <wp:inline distT="0" distB="0" distL="114300" distR="114300">
            <wp:extent cx="5943600" cy="3343275"/>
            <wp:effectExtent l="0" t="0" r="4445" b="317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5"/>
        <w:rPr>
          <w:rFonts w:hint="eastAsia" w:ascii="Microsoft YaHei UI" w:hAnsi="Microsoft YaHei UI" w:eastAsia="Microsoft YaHei UI"/>
          <w:highlight w:val="none"/>
          <w:lang w:val="en-US" w:eastAsia="zh-CN"/>
        </w:rPr>
      </w:pPr>
      <w:bookmarkStart w:id="39" w:name="_Toc2313"/>
      <w:r>
        <w:rPr>
          <w:rFonts w:hint="eastAsia" w:ascii="Microsoft YaHei UI" w:hAnsi="Microsoft YaHei UI" w:eastAsia="Microsoft YaHei UI"/>
          <w:highlight w:val="none"/>
          <w:lang w:val="en-US" w:eastAsia="zh-CN"/>
        </w:rPr>
        <w:t>系统规则设计</w:t>
      </w:r>
      <w:bookmarkEnd w:id="39"/>
    </w:p>
    <w:tbl>
      <w:tblPr>
        <w:tblStyle w:val="28"/>
        <w:tblW w:w="93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6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8652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规则说明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704" w:type="dxa"/>
            <w:vAlign w:val="center"/>
          </w:tcPr>
          <w:p>
            <w:pPr>
              <w:spacing w:after="0" w:line="288" w:lineRule="auto"/>
              <w:jc w:val="center"/>
              <w:rPr>
                <w:rFonts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652" w:type="dxa"/>
            <w:vAlign w:val="center"/>
          </w:tcPr>
          <w:p>
            <w:pPr>
              <w:numPr>
                <w:ilvl w:val="0"/>
                <w:numId w:val="0"/>
              </w:numPr>
              <w:spacing w:after="0" w:line="288" w:lineRule="auto"/>
              <w:ind w:leftChars="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当订单&lt;分销类型&gt;为&lt;外销&gt;且&lt;是否分批次发货&gt;字段为&lt;否&gt;时，启用延迟规则功能，具体规则如下：</w:t>
            </w:r>
          </w:p>
          <w:p>
            <w:pPr>
              <w:numPr>
                <w:ilvl w:val="0"/>
                <w:numId w:val="13"/>
              </w:numPr>
              <w:spacing w:before="120" w:beforeLines="50" w:after="120" w:afterLines="50" w:line="288" w:lineRule="auto"/>
              <w:ind w:left="425" w:leftChars="0" w:hanging="425" w:firstLineChars="0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订单明细行清洗完成后，若满足以上订单条件，将订单状态更新为&lt;订单暂挂&gt;，并将&lt;hold原因代码&gt;字段更新为&lt;外销订单零件延迟处理&gt;；</w:t>
            </w:r>
          </w:p>
          <w:p>
            <w:pPr>
              <w:numPr>
                <w:ilvl w:val="0"/>
                <w:numId w:val="13"/>
              </w:numPr>
              <w:spacing w:before="120" w:beforeLines="50" w:after="120" w:afterLines="50" w:line="288" w:lineRule="auto"/>
              <w:ind w:left="425" w:leftChars="0" w:hanging="425" w:firstLineChars="0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采购申请下发时机：按照缺件的条件由计划模块自动根据规则统计采购申请，无特殊流程；</w:t>
            </w:r>
          </w:p>
          <w:p>
            <w:pPr>
              <w:numPr>
                <w:ilvl w:val="0"/>
                <w:numId w:val="13"/>
              </w:numPr>
              <w:spacing w:before="120" w:beforeLines="50" w:after="120" w:afterLines="50" w:line="288" w:lineRule="auto"/>
              <w:ind w:left="425" w:leftChars="0" w:hanging="425" w:firstLineChars="0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库存占用时机：以订单整体交期为基准，按各物料的交期倒推库存占用时间。订单最终备齐时间，由订单中缺件且交期最长的物料决定。</w:t>
            </w:r>
          </w:p>
          <w:p>
            <w:pPr>
              <w:numPr>
                <w:ilvl w:val="0"/>
                <w:numId w:val="0"/>
              </w:numPr>
              <w:spacing w:before="120" w:beforeLines="50" w:after="120" w:afterLines="50" w:line="288" w:lineRule="auto"/>
              <w:ind w:leftChars="0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示例：订单要求交货日期为60 天，物料 A1 交期 30 天，则其占用时间点为第 30 天；物料 A4 交期 50 天，则其采购 / 占用时间点为第 10 天；</w:t>
            </w:r>
          </w:p>
          <w:p>
            <w:pPr>
              <w:numPr>
                <w:ilvl w:val="0"/>
                <w:numId w:val="0"/>
              </w:numPr>
              <w:spacing w:after="0" w:line="288" w:lineRule="auto"/>
              <w:ind w:leftChars="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配置说明：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以上校验规则配置在延迟规则界面，可根据不同的规则进行配置。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704" w:type="dxa"/>
            <w:vAlign w:val="center"/>
          </w:tcPr>
          <w:p>
            <w:pPr>
              <w:spacing w:after="0" w:line="288" w:lineRule="auto"/>
              <w:jc w:val="center"/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652" w:type="dxa"/>
            <w:vAlign w:val="center"/>
          </w:tcPr>
          <w:p>
            <w:pPr>
              <w:numPr>
                <w:ilvl w:val="0"/>
                <w:numId w:val="14"/>
              </w:numPr>
              <w:spacing w:after="0" w:line="288" w:lineRule="auto"/>
              <w:ind w:left="425" w:leftChars="0" w:hanging="425" w:firstLineChars="0"/>
              <w:jc w:val="both"/>
              <w:rPr>
                <w:rFonts w:hint="default" w:ascii="Microsoft YaHei UI" w:hAnsi="Microsoft YaHei UI" w:eastAsia="Microsoft YaHei UI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按照订单物料明细行交期占库存后，若库存满足，则将订单流转至「履约中心-订单池--待下发订单界面」状态更新为&lt;待下发&gt;，等待后续操作。</w:t>
            </w:r>
          </w:p>
          <w:p>
            <w:pPr>
              <w:numPr>
                <w:ilvl w:val="0"/>
                <w:numId w:val="14"/>
              </w:numPr>
              <w:spacing w:after="0" w:line="288" w:lineRule="auto"/>
              <w:ind w:left="425" w:leftChars="0" w:hanging="425" w:firstLineChars="0"/>
              <w:jc w:val="both"/>
              <w:rPr>
                <w:rFonts w:hint="default" w:ascii="Microsoft YaHei UI" w:hAnsi="Microsoft YaHei UI" w:eastAsia="Microsoft YaHei UI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按照订单物料明细行交期占库存后，若库存不满足，则订单状态更新为&lt;欠货&gt;，并生成预警报表。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5"/>
        <w:rPr>
          <w:rFonts w:hint="eastAsia" w:ascii="Microsoft YaHei UI" w:hAnsi="Microsoft YaHei UI" w:eastAsia="Microsoft YaHei UI"/>
          <w:highlight w:val="none"/>
          <w:lang w:val="en-US" w:eastAsia="zh-CN"/>
        </w:rPr>
      </w:pPr>
      <w:bookmarkStart w:id="40" w:name="_Toc25217"/>
      <w:r>
        <w:rPr>
          <w:rFonts w:hint="eastAsia" w:ascii="Microsoft YaHei UI" w:hAnsi="Microsoft YaHei UI" w:eastAsia="Microsoft YaHei UI"/>
          <w:highlight w:val="none"/>
          <w:lang w:val="en-US" w:eastAsia="zh-CN"/>
        </w:rPr>
        <w:t>界面原型设计</w:t>
      </w:r>
      <w:bookmarkEnd w:id="40"/>
    </w:p>
    <w:p>
      <w:pPr>
        <w:numPr>
          <w:ilvl w:val="0"/>
          <w:numId w:val="15"/>
        </w:numPr>
        <w:ind w:left="425" w:leftChars="0" w:hanging="425" w:firstLineChars="0"/>
        <w:rPr>
          <w:rFonts w:hint="default" w:eastAsia="Microsoft YaHei UI"/>
          <w:highlight w:val="none"/>
          <w:lang w:val="en-US" w:eastAsia="zh-CN"/>
        </w:rPr>
      </w:pPr>
      <w:r>
        <w:rPr>
          <w:rFonts w:hint="eastAsia" w:eastAsia="Microsoft YaHei UI"/>
          <w:highlight w:val="none"/>
          <w:lang w:val="en-US" w:eastAsia="zh-CN"/>
        </w:rPr>
        <w:t>延迟规则配置</w:t>
      </w:r>
    </w:p>
    <w:p>
      <w:r>
        <w:drawing>
          <wp:inline distT="0" distB="0" distL="114300" distR="114300">
            <wp:extent cx="5941060" cy="2359660"/>
            <wp:effectExtent l="0" t="0" r="6985" b="444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ind w:left="425" w:leftChars="0" w:hanging="425" w:firstLineChars="0"/>
        <w:rPr>
          <w:rFonts w:hint="default" w:eastAsia="Microsoft YaHei UI"/>
          <w:highlight w:val="none"/>
          <w:lang w:val="en-US" w:eastAsia="zh-CN"/>
        </w:rPr>
      </w:pPr>
      <w:r>
        <w:rPr>
          <w:rFonts w:hint="eastAsia" w:eastAsia="Microsoft YaHei UI"/>
          <w:highlight w:val="none"/>
          <w:lang w:val="en-US" w:eastAsia="zh-CN"/>
        </w:rPr>
        <w:t>延迟订单界面</w:t>
      </w:r>
    </w:p>
    <w:p>
      <w:r>
        <w:drawing>
          <wp:inline distT="0" distB="0" distL="114300" distR="114300">
            <wp:extent cx="5938520" cy="2951480"/>
            <wp:effectExtent l="0" t="0" r="9525" b="635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5"/>
        <w:rPr>
          <w:rFonts w:hint="eastAsia" w:ascii="Microsoft YaHei UI" w:hAnsi="Microsoft YaHei UI" w:eastAsia="Microsoft YaHei UI"/>
          <w:highlight w:val="none"/>
          <w:lang w:val="en-US" w:eastAsia="zh-CN"/>
        </w:rPr>
      </w:pPr>
      <w:bookmarkStart w:id="41" w:name="_Toc12878"/>
      <w:r>
        <w:rPr>
          <w:rFonts w:hint="eastAsia" w:ascii="Microsoft YaHei UI" w:hAnsi="Microsoft YaHei UI" w:eastAsia="Microsoft YaHei UI"/>
          <w:highlight w:val="none"/>
          <w:lang w:val="en-US" w:eastAsia="zh-CN"/>
        </w:rPr>
        <w:t>界面事件设计</w:t>
      </w:r>
      <w:bookmarkEnd w:id="41"/>
    </w:p>
    <w:tbl>
      <w:tblPr>
        <w:tblStyle w:val="28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150"/>
        <w:gridCol w:w="3544"/>
        <w:gridCol w:w="2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0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50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用户动作</w:t>
            </w:r>
          </w:p>
        </w:tc>
        <w:tc>
          <w:tcPr>
            <w:tcW w:w="3544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系统动作</w:t>
            </w:r>
          </w:p>
        </w:tc>
        <w:tc>
          <w:tcPr>
            <w:tcW w:w="2977" w:type="dxa"/>
            <w:shd w:val="clear" w:color="auto" w:fill="D8D8D8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事件逻辑规则描述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351" w:type="dxa"/>
            <w:gridSpan w:val="4"/>
            <w:shd w:val="clear" w:color="auto" w:fill="DAE9F7" w:themeFill="text2" w:themeFillTint="1A"/>
            <w:vAlign w:val="center"/>
          </w:tcPr>
          <w:p>
            <w:pPr>
              <w:spacing w:after="0"/>
              <w:jc w:val="both"/>
              <w:rPr>
                <w:rFonts w:hint="default" w:ascii="Microsoft YaHei UI" w:hAnsi="Microsoft YaHei UI" w:eastAsia="Microsoft YaHei UI" w:cs="等线"/>
                <w:b/>
                <w:bCs/>
                <w:color w:val="000000" w:themeColor="text1"/>
                <w:sz w:val="2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b/>
                <w:bCs/>
                <w:color w:val="000000" w:themeColor="text1"/>
                <w:sz w:val="20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订单提交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0" w:type="dxa"/>
            <w:vAlign w:val="center"/>
          </w:tcPr>
          <w:p>
            <w:pPr>
              <w:spacing w:after="0"/>
              <w:jc w:val="center"/>
              <w:rPr>
                <w:rFonts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spacing w:after="0"/>
              <w:rPr>
                <w:rFonts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用户在延迟规则界面点击新建按钮添加对应的延迟策略</w:t>
            </w:r>
            <w:r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3544" w:type="dxa"/>
            <w:vAlign w:val="center"/>
          </w:tcPr>
          <w:p>
            <w:pPr>
              <w:spacing w:after="0"/>
              <w:jc w:val="both"/>
              <w:rPr>
                <w:rFonts w:hint="default" w:ascii="Microsoft YaHei UI" w:hAnsi="Microsoft YaHei UI" w:eastAsia="Microsoft YaHei U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延迟策略为：当订单&lt;分销类型&gt;为&lt;外销&gt;且&lt;是否分批次发货&gt;字段为&lt;否&gt;时，按各物料交期倒推启动库存占用，</w:t>
            </w: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且订单最终备齐时间由交期最长的物料决定</w:t>
            </w:r>
            <w:r>
              <w:rPr>
                <w:rFonts w:hint="eastAsia" w:ascii="Microsoft YaHei UI" w:hAnsi="Microsoft YaHei UI" w:eastAsia="Microsoft YaHei U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977" w:type="dxa"/>
            <w:vAlign w:val="center"/>
          </w:tcPr>
          <w:p>
            <w:pPr>
              <w:pStyle w:val="47"/>
              <w:numPr>
                <w:ilvl w:val="0"/>
                <w:numId w:val="6"/>
              </w:numPr>
              <w:spacing w:after="0"/>
              <w:ind w:left="170" w:hanging="170"/>
              <w:jc w:val="both"/>
              <w:rPr>
                <w:rFonts w:ascii="Microsoft YaHei UI" w:hAnsi="Microsoft YaHei UI" w:eastAsia="Microsoft YaHei UI" w:cs="等线"/>
                <w:color w:val="000000" w:themeColor="text1"/>
                <w:sz w:val="20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color w:val="000000" w:themeColor="text1"/>
                <w:sz w:val="20"/>
                <w:szCs w:val="22"/>
                <w14:textFill>
                  <w14:solidFill>
                    <w14:schemeClr w14:val="tx1"/>
                  </w14:solidFill>
                </w14:textFill>
              </w:rPr>
              <w:t>无；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80" w:type="dxa"/>
            <w:vAlign w:val="center"/>
          </w:tcPr>
          <w:p>
            <w:pPr>
              <w:spacing w:after="0"/>
              <w:jc w:val="center"/>
              <w:rPr>
                <w:rFonts w:hint="eastAsia" w:ascii="Microsoft YaHei UI" w:hAnsi="Microsoft YaHei UI" w:eastAsia="Microsoft YaHei U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50" w:type="dxa"/>
            <w:vAlign w:val="center"/>
          </w:tcPr>
          <w:p>
            <w:pPr>
              <w:spacing w:after="0"/>
              <w:rPr>
                <w:rFonts w:hint="default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iCs/>
                <w:color w:val="000000" w:themeColor="text1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tcPr>
            <w:tcW w:w="3544" w:type="dxa"/>
            <w:vAlign w:val="center"/>
          </w:tcPr>
          <w:p>
            <w:pPr>
              <w:spacing w:after="0"/>
              <w:jc w:val="both"/>
              <w:rPr>
                <w:rFonts w:hint="default" w:ascii="Microsoft YaHei UI" w:hAnsi="Microsoft YaHei UI" w:eastAsia="Microsoft YaHei U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按订单物料最长交期开始占用库存，自动生成ETA 预计交期确认时效明细报表，</w:t>
            </w: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临近交期系统进行预警。</w:t>
            </w:r>
          </w:p>
        </w:tc>
        <w:tc>
          <w:tcPr>
            <w:tcW w:w="2977" w:type="dxa"/>
            <w:vAlign w:val="center"/>
          </w:tcPr>
          <w:p>
            <w:pPr>
              <w:pStyle w:val="47"/>
              <w:numPr>
                <w:ilvl w:val="0"/>
                <w:numId w:val="6"/>
              </w:numPr>
              <w:spacing w:after="0"/>
              <w:ind w:left="170" w:hanging="170"/>
              <w:jc w:val="both"/>
              <w:rPr>
                <w:rFonts w:hint="eastAsia" w:ascii="Microsoft YaHei UI" w:hAnsi="Microsoft YaHei UI" w:eastAsia="Microsoft YaHei UI" w:cs="等线"/>
                <w:color w:val="000000" w:themeColor="text1"/>
                <w:sz w:val="20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="等线"/>
                <w:color w:val="000000" w:themeColor="text1"/>
                <w:sz w:val="20"/>
                <w:szCs w:val="22"/>
                <w14:textFill>
                  <w14:solidFill>
                    <w14:schemeClr w14:val="tx1"/>
                  </w14:solidFill>
                </w14:textFill>
              </w:rPr>
              <w:t>无</w:t>
            </w:r>
            <w:r>
              <w:rPr>
                <w:rFonts w:hint="eastAsia" w:ascii="Microsoft YaHei UI" w:hAnsi="Microsoft YaHei UI" w:eastAsia="Microsoft YaHei UI" w:cs="等线"/>
                <w:color w:val="000000" w:themeColor="text1"/>
                <w:sz w:val="20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5"/>
        <w:rPr>
          <w:rFonts w:hint="eastAsia" w:ascii="Microsoft YaHei UI" w:hAnsi="Microsoft YaHei UI" w:eastAsia="Microsoft YaHei UI"/>
          <w:lang w:val="en-US" w:eastAsia="zh-CN"/>
        </w:rPr>
      </w:pPr>
      <w:bookmarkStart w:id="42" w:name="_Toc18940"/>
      <w:r>
        <w:rPr>
          <w:rFonts w:hint="eastAsia" w:ascii="Microsoft YaHei UI" w:hAnsi="Microsoft YaHei UI" w:eastAsia="Microsoft YaHei UI"/>
          <w:lang w:val="en-US" w:eastAsia="zh-CN"/>
        </w:rPr>
        <w:t>系统字段设计</w:t>
      </w:r>
      <w:bookmarkEnd w:id="42"/>
    </w:p>
    <w:p>
      <w:pPr>
        <w:ind w:firstLine="360"/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无。</w:t>
      </w:r>
    </w:p>
    <w:p>
      <w:pPr>
        <w:rPr>
          <w:rFonts w:hint="eastAsia"/>
          <w:lang w:val="en-US" w:eastAsia="zh-CN"/>
        </w:rPr>
      </w:pPr>
    </w:p>
    <w:p>
      <w:pPr>
        <w:pStyle w:val="5"/>
        <w:rPr>
          <w:rFonts w:hint="eastAsia" w:ascii="Microsoft YaHei UI" w:hAnsi="Microsoft YaHei UI" w:eastAsia="Microsoft YaHei UI"/>
          <w:lang w:val="en-US" w:eastAsia="zh-CN"/>
        </w:rPr>
      </w:pPr>
      <w:bookmarkStart w:id="43" w:name="_Toc23199"/>
      <w:r>
        <w:rPr>
          <w:rFonts w:hint="eastAsia" w:ascii="Microsoft YaHei UI" w:hAnsi="Microsoft YaHei UI" w:eastAsia="Microsoft YaHei UI"/>
          <w:lang w:val="en-US" w:eastAsia="zh-CN"/>
        </w:rPr>
        <w:t>审批流及审批规则设计</w:t>
      </w:r>
      <w:bookmarkEnd w:id="43"/>
    </w:p>
    <w:p>
      <w:pPr>
        <w:ind w:firstLine="360"/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无审批流。</w:t>
      </w:r>
    </w:p>
    <w:p>
      <w:pPr>
        <w:rPr>
          <w:rFonts w:hint="eastAsia"/>
          <w:lang w:val="en-US" w:eastAsia="zh-CN"/>
        </w:rPr>
      </w:pPr>
    </w:p>
    <w:p>
      <w:pPr>
        <w:pStyle w:val="5"/>
        <w:rPr>
          <w:rFonts w:hint="default" w:ascii="Microsoft YaHei UI" w:hAnsi="Microsoft YaHei UI" w:eastAsia="Microsoft YaHei UI"/>
          <w:lang w:val="en-US" w:eastAsia="zh-CN"/>
        </w:rPr>
      </w:pPr>
      <w:bookmarkStart w:id="44" w:name="_Toc6882"/>
      <w:r>
        <w:rPr>
          <w:rFonts w:hint="eastAsia" w:ascii="Microsoft YaHei UI" w:hAnsi="Microsoft YaHei UI" w:eastAsia="Microsoft YaHei UI"/>
          <w:lang w:val="en-US" w:eastAsia="zh-CN"/>
        </w:rPr>
        <w:t>系统权限设计</w:t>
      </w:r>
      <w:bookmarkEnd w:id="44"/>
    </w:p>
    <w:p>
      <w:pPr>
        <w:ind w:firstLine="360"/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用户权限</w:t>
      </w:r>
      <w:r>
        <w:rPr>
          <w:rFonts w:hint="eastAsia" w:ascii="Microsoft YaHei UI" w:hAnsi="Microsoft YaHei UI" w:eastAsia="Microsoft YaHei U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设置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保持一致。</w:t>
      </w:r>
    </w:p>
    <w:p>
      <w:pPr>
        <w:rPr>
          <w:rFonts w:hint="default"/>
          <w:lang w:val="en-US" w:eastAsia="zh-CN"/>
        </w:rPr>
      </w:pPr>
    </w:p>
    <w:p>
      <w:pPr>
        <w:ind w:firstLine="360"/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360"/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20"/>
        <w:spacing w:before="60" w:line="360" w:lineRule="auto"/>
        <w:jc w:val="left"/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工时评估</w:t>
      </w:r>
    </w:p>
    <w:tbl>
      <w:tblPr>
        <w:tblStyle w:val="27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6"/>
        <w:gridCol w:w="57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内容</w:t>
            </w:r>
          </w:p>
        </w:tc>
        <w:tc>
          <w:tcPr>
            <w:tcW w:w="2992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工时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需求讨论</w:t>
            </w:r>
          </w:p>
        </w:tc>
        <w:tc>
          <w:tcPr>
            <w:tcW w:w="2992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文档撰写</w:t>
            </w:r>
          </w:p>
        </w:tc>
        <w:tc>
          <w:tcPr>
            <w:tcW w:w="2992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代码编写</w:t>
            </w:r>
          </w:p>
        </w:tc>
        <w:tc>
          <w:tcPr>
            <w:tcW w:w="2992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功能测试</w:t>
            </w:r>
          </w:p>
        </w:tc>
        <w:tc>
          <w:tcPr>
            <w:tcW w:w="2992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合计</w:t>
            </w:r>
          </w:p>
        </w:tc>
        <w:tc>
          <w:tcPr>
            <w:tcW w:w="2992" w:type="pct"/>
            <w:noWrap w:val="0"/>
            <w:vAlign w:val="top"/>
          </w:tcPr>
          <w:p>
            <w:pPr>
              <w:rPr>
                <w:rFonts w:hint="eastAsia" w:ascii="微软雅黑" w:hAnsi="微软雅黑" w:eastAsia="微软雅黑" w:cs="微软雅黑"/>
                <w:b/>
              </w:rPr>
            </w:pPr>
          </w:p>
        </w:tc>
      </w:tr>
    </w:tbl>
    <w:p>
      <w:pPr>
        <w:spacing w:line="278" w:lineRule="auto"/>
        <w:rPr>
          <w:rFonts w:ascii="Microsoft YaHei UI" w:hAnsi="Microsoft YaHei UI" w:eastAsia="Microsoft YaHei UI"/>
        </w:rPr>
      </w:pPr>
      <w:bookmarkStart w:id="45" w:name="_j9mucjf8j58w" w:colFirst="0" w:colLast="0"/>
      <w:bookmarkEnd w:id="45"/>
    </w:p>
    <w:sectPr>
      <w:headerReference r:id="rId6" w:type="first"/>
      <w:footerReference r:id="rId9" w:type="first"/>
      <w:headerReference r:id="rId5" w:type="default"/>
      <w:footerReference r:id="rId7" w:type="default"/>
      <w:footerReference r:id="rId8" w:type="even"/>
      <w:pgSz w:w="12240" w:h="15840"/>
      <w:pgMar w:top="1440" w:right="1440" w:bottom="1440" w:left="1440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 New Roman (Body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 New Roman (Headings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1"/>
      </w:rPr>
      <w:id w:val="363324564"/>
    </w:sdtPr>
    <w:sdtEndPr>
      <w:rPr>
        <w:rStyle w:val="31"/>
      </w:rPr>
    </w:sdtEndPr>
    <w:sdtContent>
      <w:p>
        <w:pPr>
          <w:pStyle w:val="16"/>
          <w:framePr w:wrap="around" w:vAnchor="text" w:hAnchor="margin" w:xAlign="right" w:y="1"/>
          <w:rPr>
            <w:rStyle w:val="31"/>
          </w:rPr>
        </w:pPr>
        <w:r>
          <w:rPr>
            <w:rStyle w:val="31"/>
          </w:rPr>
          <w:fldChar w:fldCharType="begin"/>
        </w:r>
        <w:r>
          <w:rPr>
            <w:rStyle w:val="31"/>
          </w:rPr>
          <w:instrText xml:space="preserve"> PAGE </w:instrText>
        </w:r>
        <w:r>
          <w:rPr>
            <w:rStyle w:val="31"/>
          </w:rPr>
          <w:fldChar w:fldCharType="separate"/>
        </w:r>
        <w:r>
          <w:rPr>
            <w:rStyle w:val="31"/>
          </w:rPr>
          <w:t>28</w:t>
        </w:r>
        <w:r>
          <w:rPr>
            <w:rStyle w:val="31"/>
          </w:rPr>
          <w:fldChar w:fldCharType="end"/>
        </w:r>
      </w:p>
    </w:sdtContent>
  </w:sdt>
  <w:p>
    <w:pPr>
      <w:pStyle w:val="16"/>
      <w:pBdr>
        <w:top w:val="single" w:color="auto" w:sz="4" w:space="1"/>
      </w:pBdr>
      <w:ind w:right="360"/>
    </w:pPr>
    <w:r>
      <w:rPr>
        <w:rFonts w:hint="eastAsia"/>
        <w:lang w:val="en-US" w:eastAsia="zh-CN"/>
      </w:rPr>
      <w:t>POP备件变革</w:t>
    </w:r>
    <w:r>
      <w:rPr>
        <w:rFonts w:hint="eastAsia"/>
      </w:rPr>
      <w:t>项目组产品需求文档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1"/>
      </w:rPr>
      <w:id w:val="178790829"/>
    </w:sdtPr>
    <w:sdtEndPr>
      <w:rPr>
        <w:rStyle w:val="31"/>
      </w:rPr>
    </w:sdtEndPr>
    <w:sdtContent>
      <w:p>
        <w:pPr>
          <w:pStyle w:val="16"/>
          <w:framePr w:wrap="around" w:vAnchor="text" w:hAnchor="margin" w:xAlign="right" w:y="1"/>
          <w:rPr>
            <w:rStyle w:val="31"/>
          </w:rPr>
        </w:pPr>
        <w:r>
          <w:rPr>
            <w:rStyle w:val="31"/>
          </w:rPr>
          <w:fldChar w:fldCharType="begin"/>
        </w:r>
        <w:r>
          <w:rPr>
            <w:rStyle w:val="31"/>
          </w:rPr>
          <w:instrText xml:space="preserve"> PAGE </w:instrText>
        </w:r>
        <w:r>
          <w:rPr>
            <w:rStyle w:val="31"/>
          </w:rPr>
          <w:fldChar w:fldCharType="end"/>
        </w:r>
      </w:p>
    </w:sdtContent>
  </w:sdt>
  <w:p>
    <w:pPr>
      <w:pStyle w:val="16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top w:val="single" w:color="auto" w:sz="4" w:space="1"/>
      </w:pBdr>
      <w:ind w:right="360"/>
    </w:pPr>
    <w:r>
      <w:rPr>
        <w:rFonts w:hint="eastAsia"/>
        <w:lang w:val="en-US" w:eastAsia="zh-CN"/>
      </w:rPr>
      <w:t>POP备件变革</w:t>
    </w:r>
    <w:r>
      <w:rPr>
        <w:rFonts w:hint="eastAsia"/>
      </w:rPr>
      <w:t>项目组产品需求文档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rPr>
        <w:rFonts w:hint="default" w:eastAsia="微软雅黑"/>
        <w:lang w:val="en-US" w:eastAsia="zh-CN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20320</wp:posOffset>
          </wp:positionV>
          <wp:extent cx="1117600" cy="283845"/>
          <wp:effectExtent l="0" t="0" r="0" b="0"/>
          <wp:wrapNone/>
          <wp:docPr id="17622056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2205694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7600" cy="283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                                        </w:t>
    </w:r>
    <w:r>
      <w:drawing>
        <wp:inline distT="0" distB="0" distL="114300" distR="114300">
          <wp:extent cx="1280160" cy="351155"/>
          <wp:effectExtent l="0" t="0" r="4445" b="5080"/>
          <wp:docPr id="10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80160" cy="351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rPr>
        <w:rFonts w:hint="default" w:eastAsia="微软雅黑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-16510</wp:posOffset>
          </wp:positionH>
          <wp:positionV relativeFrom="paragraph">
            <wp:posOffset>-11430</wp:posOffset>
          </wp:positionV>
          <wp:extent cx="1117600" cy="299720"/>
          <wp:effectExtent l="0" t="0" r="5080" b="1905"/>
          <wp:wrapNone/>
          <wp:docPr id="8080460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046087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7600" cy="299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                                          </w:t>
    </w:r>
    <w:r>
      <w:drawing>
        <wp:inline distT="0" distB="0" distL="114300" distR="114300">
          <wp:extent cx="1280160" cy="323850"/>
          <wp:effectExtent l="0" t="0" r="4445" b="0"/>
          <wp:docPr id="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8016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F074C"/>
    <w:multiLevelType w:val="singleLevel"/>
    <w:tmpl w:val="86BF07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3FDE8C0"/>
    <w:multiLevelType w:val="singleLevel"/>
    <w:tmpl w:val="A3FDE8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9AFF863"/>
    <w:multiLevelType w:val="singleLevel"/>
    <w:tmpl w:val="E9AFF8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B173466"/>
    <w:multiLevelType w:val="singleLevel"/>
    <w:tmpl w:val="EB17346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1EC7E5C"/>
    <w:multiLevelType w:val="singleLevel"/>
    <w:tmpl w:val="F1EC7E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03893BE"/>
    <w:multiLevelType w:val="singleLevel"/>
    <w:tmpl w:val="003893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6">
    <w:nsid w:val="02206EA3"/>
    <w:multiLevelType w:val="singleLevel"/>
    <w:tmpl w:val="02206E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28D6781"/>
    <w:multiLevelType w:val="multilevel"/>
    <w:tmpl w:val="128D6781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B17741"/>
    <w:multiLevelType w:val="singleLevel"/>
    <w:tmpl w:val="13B177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87027E8"/>
    <w:multiLevelType w:val="multilevel"/>
    <w:tmpl w:val="187027E8"/>
    <w:lvl w:ilvl="0" w:tentative="0">
      <w:start w:val="1"/>
      <w:numFmt w:val="decimal"/>
      <w:pStyle w:val="2"/>
      <w:lvlText w:val="%1"/>
      <w:lvlJc w:val="left"/>
      <w:pPr>
        <w:ind w:left="79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936" w:hanging="576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122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36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51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65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10">
    <w:nsid w:val="4A90FF81"/>
    <w:multiLevelType w:val="singleLevel"/>
    <w:tmpl w:val="4A90FF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D8CCDB1"/>
    <w:multiLevelType w:val="singleLevel"/>
    <w:tmpl w:val="5D8CCD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31C2A33"/>
    <w:multiLevelType w:val="singleLevel"/>
    <w:tmpl w:val="731C2A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742629BB"/>
    <w:multiLevelType w:val="multilevel"/>
    <w:tmpl w:val="742629BB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7FF07EC1"/>
    <w:multiLevelType w:val="singleLevel"/>
    <w:tmpl w:val="7FF07EC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1"/>
  </w:num>
  <w:num w:numId="5">
    <w:abstractNumId w:val="7"/>
  </w:num>
  <w:num w:numId="6">
    <w:abstractNumId w:val="13"/>
  </w:num>
  <w:num w:numId="7">
    <w:abstractNumId w:val="0"/>
  </w:num>
  <w:num w:numId="8">
    <w:abstractNumId w:val="3"/>
  </w:num>
  <w:num w:numId="9">
    <w:abstractNumId w:val="2"/>
  </w:num>
  <w:num w:numId="10">
    <w:abstractNumId w:val="4"/>
  </w:num>
  <w:num w:numId="11">
    <w:abstractNumId w:val="11"/>
  </w:num>
  <w:num w:numId="12">
    <w:abstractNumId w:val="14"/>
  </w:num>
  <w:num w:numId="13">
    <w:abstractNumId w:val="6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ZmOTQ2ODVlYmI1NDc4NTE5MDgyM2Y3ZDFjNTlhZTQifQ=="/>
  </w:docVars>
  <w:rsids>
    <w:rsidRoot w:val="008C6FED"/>
    <w:rsid w:val="00001BCB"/>
    <w:rsid w:val="00003E5A"/>
    <w:rsid w:val="000070A1"/>
    <w:rsid w:val="00010736"/>
    <w:rsid w:val="0001364F"/>
    <w:rsid w:val="00014510"/>
    <w:rsid w:val="00017BE7"/>
    <w:rsid w:val="00017F3C"/>
    <w:rsid w:val="00020114"/>
    <w:rsid w:val="00020E6D"/>
    <w:rsid w:val="00020FD3"/>
    <w:rsid w:val="00022DA9"/>
    <w:rsid w:val="00023994"/>
    <w:rsid w:val="00023A7E"/>
    <w:rsid w:val="00024598"/>
    <w:rsid w:val="00024667"/>
    <w:rsid w:val="00025527"/>
    <w:rsid w:val="00025A46"/>
    <w:rsid w:val="0002616F"/>
    <w:rsid w:val="000267DB"/>
    <w:rsid w:val="00026A01"/>
    <w:rsid w:val="000274CE"/>
    <w:rsid w:val="00027B4C"/>
    <w:rsid w:val="00031770"/>
    <w:rsid w:val="0003441D"/>
    <w:rsid w:val="00035006"/>
    <w:rsid w:val="00035BC0"/>
    <w:rsid w:val="0003612D"/>
    <w:rsid w:val="000407AE"/>
    <w:rsid w:val="0004096E"/>
    <w:rsid w:val="00041990"/>
    <w:rsid w:val="000426AE"/>
    <w:rsid w:val="00044CC1"/>
    <w:rsid w:val="0004507D"/>
    <w:rsid w:val="00045442"/>
    <w:rsid w:val="00046BE4"/>
    <w:rsid w:val="0005053B"/>
    <w:rsid w:val="00051D96"/>
    <w:rsid w:val="00052E87"/>
    <w:rsid w:val="0005357F"/>
    <w:rsid w:val="00053E69"/>
    <w:rsid w:val="0005527B"/>
    <w:rsid w:val="000559C1"/>
    <w:rsid w:val="00060066"/>
    <w:rsid w:val="0006009E"/>
    <w:rsid w:val="000622AF"/>
    <w:rsid w:val="00063714"/>
    <w:rsid w:val="00063C91"/>
    <w:rsid w:val="00066AE7"/>
    <w:rsid w:val="00066B29"/>
    <w:rsid w:val="00071327"/>
    <w:rsid w:val="000719F1"/>
    <w:rsid w:val="00073432"/>
    <w:rsid w:val="000748A2"/>
    <w:rsid w:val="000763B3"/>
    <w:rsid w:val="00077140"/>
    <w:rsid w:val="0007755F"/>
    <w:rsid w:val="00080953"/>
    <w:rsid w:val="00081E30"/>
    <w:rsid w:val="00081F53"/>
    <w:rsid w:val="00082377"/>
    <w:rsid w:val="00083F3A"/>
    <w:rsid w:val="000847E0"/>
    <w:rsid w:val="00086C50"/>
    <w:rsid w:val="00087B95"/>
    <w:rsid w:val="000901F4"/>
    <w:rsid w:val="000902E1"/>
    <w:rsid w:val="00091EA1"/>
    <w:rsid w:val="00091EB2"/>
    <w:rsid w:val="00092188"/>
    <w:rsid w:val="00095D40"/>
    <w:rsid w:val="00095EEF"/>
    <w:rsid w:val="00097B05"/>
    <w:rsid w:val="000A1DEA"/>
    <w:rsid w:val="000A5557"/>
    <w:rsid w:val="000A6464"/>
    <w:rsid w:val="000A76CC"/>
    <w:rsid w:val="000A78CD"/>
    <w:rsid w:val="000B03B4"/>
    <w:rsid w:val="000B07B6"/>
    <w:rsid w:val="000B193F"/>
    <w:rsid w:val="000B4780"/>
    <w:rsid w:val="000B5275"/>
    <w:rsid w:val="000C06A3"/>
    <w:rsid w:val="000C1860"/>
    <w:rsid w:val="000C36C2"/>
    <w:rsid w:val="000C41A6"/>
    <w:rsid w:val="000C6979"/>
    <w:rsid w:val="000C76FD"/>
    <w:rsid w:val="000D0829"/>
    <w:rsid w:val="000D08C0"/>
    <w:rsid w:val="000D2093"/>
    <w:rsid w:val="000D20A2"/>
    <w:rsid w:val="000D37DB"/>
    <w:rsid w:val="000D492F"/>
    <w:rsid w:val="000D4DDC"/>
    <w:rsid w:val="000D6B42"/>
    <w:rsid w:val="000E0BA3"/>
    <w:rsid w:val="000E243F"/>
    <w:rsid w:val="000F0779"/>
    <w:rsid w:val="000F2A14"/>
    <w:rsid w:val="000F3301"/>
    <w:rsid w:val="000F370A"/>
    <w:rsid w:val="000F4877"/>
    <w:rsid w:val="000F6BF8"/>
    <w:rsid w:val="000F6D3C"/>
    <w:rsid w:val="000F70B9"/>
    <w:rsid w:val="00100CB7"/>
    <w:rsid w:val="00101595"/>
    <w:rsid w:val="0010180D"/>
    <w:rsid w:val="00101B4D"/>
    <w:rsid w:val="00102E28"/>
    <w:rsid w:val="00104038"/>
    <w:rsid w:val="00105560"/>
    <w:rsid w:val="00105A5B"/>
    <w:rsid w:val="00105B5B"/>
    <w:rsid w:val="0010659A"/>
    <w:rsid w:val="0010694A"/>
    <w:rsid w:val="0010711C"/>
    <w:rsid w:val="00110067"/>
    <w:rsid w:val="00110126"/>
    <w:rsid w:val="0011013D"/>
    <w:rsid w:val="00111EFD"/>
    <w:rsid w:val="0011378B"/>
    <w:rsid w:val="00113911"/>
    <w:rsid w:val="00113A00"/>
    <w:rsid w:val="001154BF"/>
    <w:rsid w:val="00115DA9"/>
    <w:rsid w:val="00117441"/>
    <w:rsid w:val="001214A3"/>
    <w:rsid w:val="00126427"/>
    <w:rsid w:val="00127181"/>
    <w:rsid w:val="00130A9F"/>
    <w:rsid w:val="00131D00"/>
    <w:rsid w:val="00131EAD"/>
    <w:rsid w:val="00132760"/>
    <w:rsid w:val="001336C4"/>
    <w:rsid w:val="00134060"/>
    <w:rsid w:val="00134C36"/>
    <w:rsid w:val="00136E2C"/>
    <w:rsid w:val="001412E3"/>
    <w:rsid w:val="00143EA0"/>
    <w:rsid w:val="00144919"/>
    <w:rsid w:val="00144C58"/>
    <w:rsid w:val="0014645D"/>
    <w:rsid w:val="001476B5"/>
    <w:rsid w:val="001500C9"/>
    <w:rsid w:val="001506E4"/>
    <w:rsid w:val="00150943"/>
    <w:rsid w:val="00150BEB"/>
    <w:rsid w:val="00151AA6"/>
    <w:rsid w:val="001522D6"/>
    <w:rsid w:val="001529C0"/>
    <w:rsid w:val="001529E1"/>
    <w:rsid w:val="00152AED"/>
    <w:rsid w:val="00152FA6"/>
    <w:rsid w:val="00156772"/>
    <w:rsid w:val="001577E3"/>
    <w:rsid w:val="00161D7F"/>
    <w:rsid w:val="001621CD"/>
    <w:rsid w:val="001626A8"/>
    <w:rsid w:val="00166A2A"/>
    <w:rsid w:val="00166F2E"/>
    <w:rsid w:val="00170055"/>
    <w:rsid w:val="001717BC"/>
    <w:rsid w:val="00171A35"/>
    <w:rsid w:val="001728A9"/>
    <w:rsid w:val="00173868"/>
    <w:rsid w:val="00177181"/>
    <w:rsid w:val="00177915"/>
    <w:rsid w:val="00177DE6"/>
    <w:rsid w:val="00181C35"/>
    <w:rsid w:val="00182B73"/>
    <w:rsid w:val="00182EE5"/>
    <w:rsid w:val="00185D32"/>
    <w:rsid w:val="00187188"/>
    <w:rsid w:val="00187E5D"/>
    <w:rsid w:val="00191A74"/>
    <w:rsid w:val="0019262C"/>
    <w:rsid w:val="00192AAE"/>
    <w:rsid w:val="00192BFF"/>
    <w:rsid w:val="00195976"/>
    <w:rsid w:val="00195BC1"/>
    <w:rsid w:val="001979D8"/>
    <w:rsid w:val="001A0CF1"/>
    <w:rsid w:val="001A295D"/>
    <w:rsid w:val="001A3095"/>
    <w:rsid w:val="001A3F9B"/>
    <w:rsid w:val="001A4675"/>
    <w:rsid w:val="001A4C97"/>
    <w:rsid w:val="001A58E9"/>
    <w:rsid w:val="001A6EE1"/>
    <w:rsid w:val="001A7FA8"/>
    <w:rsid w:val="001B05AA"/>
    <w:rsid w:val="001B05EE"/>
    <w:rsid w:val="001B2F0F"/>
    <w:rsid w:val="001B433E"/>
    <w:rsid w:val="001B7718"/>
    <w:rsid w:val="001B7E49"/>
    <w:rsid w:val="001C05CE"/>
    <w:rsid w:val="001C0A9E"/>
    <w:rsid w:val="001C4C63"/>
    <w:rsid w:val="001C5A17"/>
    <w:rsid w:val="001C5ECD"/>
    <w:rsid w:val="001C7D6D"/>
    <w:rsid w:val="001D04D6"/>
    <w:rsid w:val="001D0E2A"/>
    <w:rsid w:val="001D180F"/>
    <w:rsid w:val="001D2552"/>
    <w:rsid w:val="001D6750"/>
    <w:rsid w:val="001D6A7F"/>
    <w:rsid w:val="001E0671"/>
    <w:rsid w:val="001E15F5"/>
    <w:rsid w:val="001E33F0"/>
    <w:rsid w:val="001E47A2"/>
    <w:rsid w:val="001F0836"/>
    <w:rsid w:val="001F0F0F"/>
    <w:rsid w:val="001F108A"/>
    <w:rsid w:val="001F2349"/>
    <w:rsid w:val="001F3727"/>
    <w:rsid w:val="001F379F"/>
    <w:rsid w:val="001F3B58"/>
    <w:rsid w:val="001F4A2A"/>
    <w:rsid w:val="001F5B52"/>
    <w:rsid w:val="00200054"/>
    <w:rsid w:val="002021E1"/>
    <w:rsid w:val="0020263C"/>
    <w:rsid w:val="00202699"/>
    <w:rsid w:val="00206CEE"/>
    <w:rsid w:val="00207618"/>
    <w:rsid w:val="002106C1"/>
    <w:rsid w:val="002108F0"/>
    <w:rsid w:val="00212BE2"/>
    <w:rsid w:val="00212CE0"/>
    <w:rsid w:val="0021561D"/>
    <w:rsid w:val="00215A05"/>
    <w:rsid w:val="00215DDA"/>
    <w:rsid w:val="00216EB9"/>
    <w:rsid w:val="00217BC5"/>
    <w:rsid w:val="0022166D"/>
    <w:rsid w:val="00221A26"/>
    <w:rsid w:val="0022331D"/>
    <w:rsid w:val="00225FA7"/>
    <w:rsid w:val="0022660A"/>
    <w:rsid w:val="00226B94"/>
    <w:rsid w:val="00226D1D"/>
    <w:rsid w:val="002270B4"/>
    <w:rsid w:val="00230029"/>
    <w:rsid w:val="00231AFB"/>
    <w:rsid w:val="00232DD5"/>
    <w:rsid w:val="00234112"/>
    <w:rsid w:val="002357D4"/>
    <w:rsid w:val="0023597E"/>
    <w:rsid w:val="00237BB1"/>
    <w:rsid w:val="00237DC7"/>
    <w:rsid w:val="00240923"/>
    <w:rsid w:val="002412AA"/>
    <w:rsid w:val="002418AE"/>
    <w:rsid w:val="0024310D"/>
    <w:rsid w:val="002437D3"/>
    <w:rsid w:val="002438C5"/>
    <w:rsid w:val="0024421B"/>
    <w:rsid w:val="0024651B"/>
    <w:rsid w:val="0025048A"/>
    <w:rsid w:val="00250BD7"/>
    <w:rsid w:val="00250D93"/>
    <w:rsid w:val="00253D18"/>
    <w:rsid w:val="00256AB7"/>
    <w:rsid w:val="00256DE8"/>
    <w:rsid w:val="0026156E"/>
    <w:rsid w:val="0026260D"/>
    <w:rsid w:val="00266831"/>
    <w:rsid w:val="00271224"/>
    <w:rsid w:val="00271460"/>
    <w:rsid w:val="002729A9"/>
    <w:rsid w:val="00275453"/>
    <w:rsid w:val="00275549"/>
    <w:rsid w:val="0027673A"/>
    <w:rsid w:val="00276FDA"/>
    <w:rsid w:val="00277DE2"/>
    <w:rsid w:val="00280DF7"/>
    <w:rsid w:val="00281A07"/>
    <w:rsid w:val="00283FCE"/>
    <w:rsid w:val="00284930"/>
    <w:rsid w:val="0028518A"/>
    <w:rsid w:val="0028530F"/>
    <w:rsid w:val="002855ED"/>
    <w:rsid w:val="00290E6D"/>
    <w:rsid w:val="0029122E"/>
    <w:rsid w:val="00291261"/>
    <w:rsid w:val="00291BA1"/>
    <w:rsid w:val="00292367"/>
    <w:rsid w:val="002930F3"/>
    <w:rsid w:val="0029496E"/>
    <w:rsid w:val="002A0794"/>
    <w:rsid w:val="002A0A32"/>
    <w:rsid w:val="002A1FDE"/>
    <w:rsid w:val="002A312A"/>
    <w:rsid w:val="002A3181"/>
    <w:rsid w:val="002A5182"/>
    <w:rsid w:val="002A5CB3"/>
    <w:rsid w:val="002B0E1C"/>
    <w:rsid w:val="002B2004"/>
    <w:rsid w:val="002B4673"/>
    <w:rsid w:val="002B5356"/>
    <w:rsid w:val="002B5469"/>
    <w:rsid w:val="002B6C09"/>
    <w:rsid w:val="002C04DC"/>
    <w:rsid w:val="002C1727"/>
    <w:rsid w:val="002C1C7F"/>
    <w:rsid w:val="002C227E"/>
    <w:rsid w:val="002C295A"/>
    <w:rsid w:val="002C2D4A"/>
    <w:rsid w:val="002C34D2"/>
    <w:rsid w:val="002C4C38"/>
    <w:rsid w:val="002C56B3"/>
    <w:rsid w:val="002C5A5B"/>
    <w:rsid w:val="002D149E"/>
    <w:rsid w:val="002D297E"/>
    <w:rsid w:val="002D2CB6"/>
    <w:rsid w:val="002D2FF3"/>
    <w:rsid w:val="002D3C3F"/>
    <w:rsid w:val="002D5303"/>
    <w:rsid w:val="002D5DFD"/>
    <w:rsid w:val="002E2A44"/>
    <w:rsid w:val="002E3D40"/>
    <w:rsid w:val="002E562F"/>
    <w:rsid w:val="002E57FB"/>
    <w:rsid w:val="002E6494"/>
    <w:rsid w:val="002E6F33"/>
    <w:rsid w:val="002E756A"/>
    <w:rsid w:val="002E768B"/>
    <w:rsid w:val="002F104A"/>
    <w:rsid w:val="002F3B5B"/>
    <w:rsid w:val="002F4FF1"/>
    <w:rsid w:val="002F505E"/>
    <w:rsid w:val="002F5DA4"/>
    <w:rsid w:val="002F69EA"/>
    <w:rsid w:val="002F72C4"/>
    <w:rsid w:val="0030032B"/>
    <w:rsid w:val="00300AE7"/>
    <w:rsid w:val="0030277B"/>
    <w:rsid w:val="003028CF"/>
    <w:rsid w:val="003039A1"/>
    <w:rsid w:val="0030591D"/>
    <w:rsid w:val="003067F1"/>
    <w:rsid w:val="00306BD4"/>
    <w:rsid w:val="0031090D"/>
    <w:rsid w:val="003125B3"/>
    <w:rsid w:val="003127C7"/>
    <w:rsid w:val="0031283B"/>
    <w:rsid w:val="0031290E"/>
    <w:rsid w:val="0031348A"/>
    <w:rsid w:val="0031707A"/>
    <w:rsid w:val="00317AC0"/>
    <w:rsid w:val="0032141B"/>
    <w:rsid w:val="00322DB8"/>
    <w:rsid w:val="003256DA"/>
    <w:rsid w:val="00325B0D"/>
    <w:rsid w:val="00327CEB"/>
    <w:rsid w:val="00331056"/>
    <w:rsid w:val="00333169"/>
    <w:rsid w:val="003336B0"/>
    <w:rsid w:val="003348EE"/>
    <w:rsid w:val="003349DB"/>
    <w:rsid w:val="00336A54"/>
    <w:rsid w:val="003401D0"/>
    <w:rsid w:val="00342632"/>
    <w:rsid w:val="00342D85"/>
    <w:rsid w:val="003437B1"/>
    <w:rsid w:val="00345300"/>
    <w:rsid w:val="00345306"/>
    <w:rsid w:val="0035064C"/>
    <w:rsid w:val="00351AE5"/>
    <w:rsid w:val="00353203"/>
    <w:rsid w:val="0035380F"/>
    <w:rsid w:val="00354765"/>
    <w:rsid w:val="00354E64"/>
    <w:rsid w:val="00355389"/>
    <w:rsid w:val="00356745"/>
    <w:rsid w:val="00356CD5"/>
    <w:rsid w:val="0035789E"/>
    <w:rsid w:val="00357D17"/>
    <w:rsid w:val="00360516"/>
    <w:rsid w:val="003609CA"/>
    <w:rsid w:val="00360D18"/>
    <w:rsid w:val="00362F7F"/>
    <w:rsid w:val="00364062"/>
    <w:rsid w:val="00364E53"/>
    <w:rsid w:val="00370A1A"/>
    <w:rsid w:val="00371AA0"/>
    <w:rsid w:val="00371BE6"/>
    <w:rsid w:val="00372014"/>
    <w:rsid w:val="003731D5"/>
    <w:rsid w:val="003748D4"/>
    <w:rsid w:val="00376400"/>
    <w:rsid w:val="00377A0C"/>
    <w:rsid w:val="003804D1"/>
    <w:rsid w:val="003831AD"/>
    <w:rsid w:val="00384553"/>
    <w:rsid w:val="00384F54"/>
    <w:rsid w:val="003850E3"/>
    <w:rsid w:val="003852C6"/>
    <w:rsid w:val="003861C7"/>
    <w:rsid w:val="00386E76"/>
    <w:rsid w:val="00391A93"/>
    <w:rsid w:val="003959EB"/>
    <w:rsid w:val="00397427"/>
    <w:rsid w:val="003A0C94"/>
    <w:rsid w:val="003A3301"/>
    <w:rsid w:val="003A3857"/>
    <w:rsid w:val="003A40EA"/>
    <w:rsid w:val="003A41EF"/>
    <w:rsid w:val="003A459D"/>
    <w:rsid w:val="003A5CAA"/>
    <w:rsid w:val="003A63CE"/>
    <w:rsid w:val="003B09D5"/>
    <w:rsid w:val="003B2574"/>
    <w:rsid w:val="003B2706"/>
    <w:rsid w:val="003B3644"/>
    <w:rsid w:val="003B7C00"/>
    <w:rsid w:val="003C4F78"/>
    <w:rsid w:val="003C6750"/>
    <w:rsid w:val="003D24D1"/>
    <w:rsid w:val="003D338B"/>
    <w:rsid w:val="003D340B"/>
    <w:rsid w:val="003D37DD"/>
    <w:rsid w:val="003D3CB8"/>
    <w:rsid w:val="003D6191"/>
    <w:rsid w:val="003D7A7D"/>
    <w:rsid w:val="003D7AE6"/>
    <w:rsid w:val="003D7C60"/>
    <w:rsid w:val="003D7E81"/>
    <w:rsid w:val="003E0B94"/>
    <w:rsid w:val="003E12CD"/>
    <w:rsid w:val="003E3A4D"/>
    <w:rsid w:val="003E5AE9"/>
    <w:rsid w:val="003E5C4B"/>
    <w:rsid w:val="003E6443"/>
    <w:rsid w:val="003F2AA8"/>
    <w:rsid w:val="003F2C35"/>
    <w:rsid w:val="003F76F0"/>
    <w:rsid w:val="00400E9B"/>
    <w:rsid w:val="00403248"/>
    <w:rsid w:val="00403B06"/>
    <w:rsid w:val="00404BE5"/>
    <w:rsid w:val="0040525D"/>
    <w:rsid w:val="0040599C"/>
    <w:rsid w:val="00407CB0"/>
    <w:rsid w:val="00410632"/>
    <w:rsid w:val="00410A7A"/>
    <w:rsid w:val="004118BE"/>
    <w:rsid w:val="00412363"/>
    <w:rsid w:val="00417096"/>
    <w:rsid w:val="0041778B"/>
    <w:rsid w:val="00417FF4"/>
    <w:rsid w:val="004241B8"/>
    <w:rsid w:val="0042422F"/>
    <w:rsid w:val="0042543D"/>
    <w:rsid w:val="0043333D"/>
    <w:rsid w:val="00440269"/>
    <w:rsid w:val="004402FF"/>
    <w:rsid w:val="004405F1"/>
    <w:rsid w:val="00441B4E"/>
    <w:rsid w:val="0044267F"/>
    <w:rsid w:val="0044432C"/>
    <w:rsid w:val="00447A21"/>
    <w:rsid w:val="00447CB1"/>
    <w:rsid w:val="00450561"/>
    <w:rsid w:val="004511B4"/>
    <w:rsid w:val="0045267B"/>
    <w:rsid w:val="00452A2A"/>
    <w:rsid w:val="00453CEB"/>
    <w:rsid w:val="00453E67"/>
    <w:rsid w:val="004543BC"/>
    <w:rsid w:val="00455D0D"/>
    <w:rsid w:val="00455D7D"/>
    <w:rsid w:val="004601B0"/>
    <w:rsid w:val="004620D7"/>
    <w:rsid w:val="00462377"/>
    <w:rsid w:val="00463AFF"/>
    <w:rsid w:val="00463D38"/>
    <w:rsid w:val="004649F2"/>
    <w:rsid w:val="00465DB7"/>
    <w:rsid w:val="00467066"/>
    <w:rsid w:val="00467F25"/>
    <w:rsid w:val="0047058F"/>
    <w:rsid w:val="00470770"/>
    <w:rsid w:val="00471359"/>
    <w:rsid w:val="00472385"/>
    <w:rsid w:val="00472750"/>
    <w:rsid w:val="004728DB"/>
    <w:rsid w:val="00473CA2"/>
    <w:rsid w:val="00473EE5"/>
    <w:rsid w:val="004759EC"/>
    <w:rsid w:val="00477DAB"/>
    <w:rsid w:val="00480BA0"/>
    <w:rsid w:val="004827EE"/>
    <w:rsid w:val="004846B8"/>
    <w:rsid w:val="00484782"/>
    <w:rsid w:val="00485BF2"/>
    <w:rsid w:val="004861FE"/>
    <w:rsid w:val="0049272A"/>
    <w:rsid w:val="0049314B"/>
    <w:rsid w:val="00494FC6"/>
    <w:rsid w:val="004956F2"/>
    <w:rsid w:val="00495EEE"/>
    <w:rsid w:val="004961B0"/>
    <w:rsid w:val="00497CD2"/>
    <w:rsid w:val="004A0332"/>
    <w:rsid w:val="004A0A47"/>
    <w:rsid w:val="004A1628"/>
    <w:rsid w:val="004A1ADF"/>
    <w:rsid w:val="004A254A"/>
    <w:rsid w:val="004A4257"/>
    <w:rsid w:val="004A52D0"/>
    <w:rsid w:val="004A6B71"/>
    <w:rsid w:val="004A78E8"/>
    <w:rsid w:val="004A7A64"/>
    <w:rsid w:val="004B17B1"/>
    <w:rsid w:val="004B365A"/>
    <w:rsid w:val="004B37AA"/>
    <w:rsid w:val="004B4236"/>
    <w:rsid w:val="004B44F7"/>
    <w:rsid w:val="004B4B2F"/>
    <w:rsid w:val="004B603A"/>
    <w:rsid w:val="004B63D5"/>
    <w:rsid w:val="004B67F7"/>
    <w:rsid w:val="004B68F4"/>
    <w:rsid w:val="004B69EF"/>
    <w:rsid w:val="004B71AD"/>
    <w:rsid w:val="004B781E"/>
    <w:rsid w:val="004C0C48"/>
    <w:rsid w:val="004C327A"/>
    <w:rsid w:val="004C3809"/>
    <w:rsid w:val="004C4C2C"/>
    <w:rsid w:val="004C68CF"/>
    <w:rsid w:val="004C71CE"/>
    <w:rsid w:val="004C7BBE"/>
    <w:rsid w:val="004D1A89"/>
    <w:rsid w:val="004D1BBA"/>
    <w:rsid w:val="004D1E5B"/>
    <w:rsid w:val="004D372D"/>
    <w:rsid w:val="004D5571"/>
    <w:rsid w:val="004D5C59"/>
    <w:rsid w:val="004E19AE"/>
    <w:rsid w:val="004E3AED"/>
    <w:rsid w:val="004E3B9A"/>
    <w:rsid w:val="004E3CA3"/>
    <w:rsid w:val="004E4B73"/>
    <w:rsid w:val="004F0484"/>
    <w:rsid w:val="004F0A32"/>
    <w:rsid w:val="004F0D01"/>
    <w:rsid w:val="004F21FA"/>
    <w:rsid w:val="004F32E1"/>
    <w:rsid w:val="004F5B62"/>
    <w:rsid w:val="004F6510"/>
    <w:rsid w:val="004F6824"/>
    <w:rsid w:val="00500B39"/>
    <w:rsid w:val="00501009"/>
    <w:rsid w:val="005019FE"/>
    <w:rsid w:val="00501A0C"/>
    <w:rsid w:val="0050266C"/>
    <w:rsid w:val="00504732"/>
    <w:rsid w:val="00510BC6"/>
    <w:rsid w:val="00510C71"/>
    <w:rsid w:val="0051174A"/>
    <w:rsid w:val="005139BA"/>
    <w:rsid w:val="00513F1D"/>
    <w:rsid w:val="00513F7E"/>
    <w:rsid w:val="00515D9B"/>
    <w:rsid w:val="005163C9"/>
    <w:rsid w:val="0051648F"/>
    <w:rsid w:val="00517C36"/>
    <w:rsid w:val="00521B07"/>
    <w:rsid w:val="00521CB5"/>
    <w:rsid w:val="00521DE7"/>
    <w:rsid w:val="0052233F"/>
    <w:rsid w:val="005232A5"/>
    <w:rsid w:val="0052641C"/>
    <w:rsid w:val="00527227"/>
    <w:rsid w:val="005272FE"/>
    <w:rsid w:val="005319C8"/>
    <w:rsid w:val="005330CB"/>
    <w:rsid w:val="00533AA3"/>
    <w:rsid w:val="0053405F"/>
    <w:rsid w:val="005348E2"/>
    <w:rsid w:val="00537312"/>
    <w:rsid w:val="00541166"/>
    <w:rsid w:val="005411C2"/>
    <w:rsid w:val="0054122E"/>
    <w:rsid w:val="005416E5"/>
    <w:rsid w:val="0054176F"/>
    <w:rsid w:val="00541943"/>
    <w:rsid w:val="00541E03"/>
    <w:rsid w:val="005428C6"/>
    <w:rsid w:val="00543B67"/>
    <w:rsid w:val="005441F7"/>
    <w:rsid w:val="0054437C"/>
    <w:rsid w:val="00545ED8"/>
    <w:rsid w:val="00547C84"/>
    <w:rsid w:val="00547F65"/>
    <w:rsid w:val="0055143F"/>
    <w:rsid w:val="00552076"/>
    <w:rsid w:val="005545E0"/>
    <w:rsid w:val="00554EC9"/>
    <w:rsid w:val="00554F92"/>
    <w:rsid w:val="00556EE7"/>
    <w:rsid w:val="00557714"/>
    <w:rsid w:val="00562108"/>
    <w:rsid w:val="00563181"/>
    <w:rsid w:val="005634BF"/>
    <w:rsid w:val="00563C8F"/>
    <w:rsid w:val="00567878"/>
    <w:rsid w:val="00570A03"/>
    <w:rsid w:val="00574121"/>
    <w:rsid w:val="005746D3"/>
    <w:rsid w:val="005765A5"/>
    <w:rsid w:val="00576D35"/>
    <w:rsid w:val="005778ED"/>
    <w:rsid w:val="005804BA"/>
    <w:rsid w:val="00580AA1"/>
    <w:rsid w:val="00583F74"/>
    <w:rsid w:val="00583F7C"/>
    <w:rsid w:val="00584967"/>
    <w:rsid w:val="00585646"/>
    <w:rsid w:val="00585F7C"/>
    <w:rsid w:val="00590767"/>
    <w:rsid w:val="0059115C"/>
    <w:rsid w:val="00591D00"/>
    <w:rsid w:val="00592A39"/>
    <w:rsid w:val="00592D11"/>
    <w:rsid w:val="00595D68"/>
    <w:rsid w:val="00596931"/>
    <w:rsid w:val="005A2100"/>
    <w:rsid w:val="005A52A6"/>
    <w:rsid w:val="005A57BF"/>
    <w:rsid w:val="005A69CE"/>
    <w:rsid w:val="005A6E73"/>
    <w:rsid w:val="005B1A8F"/>
    <w:rsid w:val="005B1E3B"/>
    <w:rsid w:val="005B24B3"/>
    <w:rsid w:val="005B39DA"/>
    <w:rsid w:val="005B4D48"/>
    <w:rsid w:val="005B5E27"/>
    <w:rsid w:val="005B71E7"/>
    <w:rsid w:val="005C0114"/>
    <w:rsid w:val="005C07C2"/>
    <w:rsid w:val="005C1095"/>
    <w:rsid w:val="005C40DB"/>
    <w:rsid w:val="005C5567"/>
    <w:rsid w:val="005D0C14"/>
    <w:rsid w:val="005D1F64"/>
    <w:rsid w:val="005D3BB0"/>
    <w:rsid w:val="005D6A7D"/>
    <w:rsid w:val="005E0BCB"/>
    <w:rsid w:val="005E0F5E"/>
    <w:rsid w:val="005E1F19"/>
    <w:rsid w:val="005E281C"/>
    <w:rsid w:val="005E3521"/>
    <w:rsid w:val="005E3D98"/>
    <w:rsid w:val="005E4201"/>
    <w:rsid w:val="005E42F5"/>
    <w:rsid w:val="005E4A5B"/>
    <w:rsid w:val="005E4F54"/>
    <w:rsid w:val="005E4F91"/>
    <w:rsid w:val="005E6C0E"/>
    <w:rsid w:val="005F1F5F"/>
    <w:rsid w:val="005F2AC3"/>
    <w:rsid w:val="005F2AF4"/>
    <w:rsid w:val="005F306E"/>
    <w:rsid w:val="005F6A58"/>
    <w:rsid w:val="005F6AB8"/>
    <w:rsid w:val="0060074D"/>
    <w:rsid w:val="00601312"/>
    <w:rsid w:val="00601BAE"/>
    <w:rsid w:val="006029AD"/>
    <w:rsid w:val="00604E97"/>
    <w:rsid w:val="00610167"/>
    <w:rsid w:val="00610972"/>
    <w:rsid w:val="00610E44"/>
    <w:rsid w:val="00613119"/>
    <w:rsid w:val="006146D4"/>
    <w:rsid w:val="006152E1"/>
    <w:rsid w:val="006157F0"/>
    <w:rsid w:val="00616DFB"/>
    <w:rsid w:val="006225F2"/>
    <w:rsid w:val="00622A2A"/>
    <w:rsid w:val="00623652"/>
    <w:rsid w:val="006253E1"/>
    <w:rsid w:val="00626047"/>
    <w:rsid w:val="00626B21"/>
    <w:rsid w:val="00630548"/>
    <w:rsid w:val="006306F8"/>
    <w:rsid w:val="00630E20"/>
    <w:rsid w:val="00631297"/>
    <w:rsid w:val="00633CE6"/>
    <w:rsid w:val="00634F04"/>
    <w:rsid w:val="006363D5"/>
    <w:rsid w:val="00640995"/>
    <w:rsid w:val="00643C80"/>
    <w:rsid w:val="00645175"/>
    <w:rsid w:val="006454E1"/>
    <w:rsid w:val="006469FC"/>
    <w:rsid w:val="00647BFE"/>
    <w:rsid w:val="00650802"/>
    <w:rsid w:val="00651F1B"/>
    <w:rsid w:val="006524DF"/>
    <w:rsid w:val="00652B74"/>
    <w:rsid w:val="00653156"/>
    <w:rsid w:val="00655BDB"/>
    <w:rsid w:val="006572D6"/>
    <w:rsid w:val="006602DD"/>
    <w:rsid w:val="00665D30"/>
    <w:rsid w:val="00666B66"/>
    <w:rsid w:val="00666C6F"/>
    <w:rsid w:val="0066724D"/>
    <w:rsid w:val="006676AF"/>
    <w:rsid w:val="0067094A"/>
    <w:rsid w:val="00670DFF"/>
    <w:rsid w:val="00671266"/>
    <w:rsid w:val="0067133A"/>
    <w:rsid w:val="00672AB5"/>
    <w:rsid w:val="006756B4"/>
    <w:rsid w:val="006758BC"/>
    <w:rsid w:val="00676B06"/>
    <w:rsid w:val="00677BB9"/>
    <w:rsid w:val="00677CF8"/>
    <w:rsid w:val="006801BC"/>
    <w:rsid w:val="006806B6"/>
    <w:rsid w:val="00680947"/>
    <w:rsid w:val="00684CAD"/>
    <w:rsid w:val="00684DBB"/>
    <w:rsid w:val="006856D5"/>
    <w:rsid w:val="006874AA"/>
    <w:rsid w:val="00687733"/>
    <w:rsid w:val="00687D8D"/>
    <w:rsid w:val="00690789"/>
    <w:rsid w:val="00690C09"/>
    <w:rsid w:val="00690E1A"/>
    <w:rsid w:val="00691056"/>
    <w:rsid w:val="0069125B"/>
    <w:rsid w:val="0069141C"/>
    <w:rsid w:val="00691FEF"/>
    <w:rsid w:val="006923F1"/>
    <w:rsid w:val="00692D0D"/>
    <w:rsid w:val="00693076"/>
    <w:rsid w:val="006940B4"/>
    <w:rsid w:val="00696771"/>
    <w:rsid w:val="006976C6"/>
    <w:rsid w:val="006A02A5"/>
    <w:rsid w:val="006A0D61"/>
    <w:rsid w:val="006A16D6"/>
    <w:rsid w:val="006A2590"/>
    <w:rsid w:val="006A61B5"/>
    <w:rsid w:val="006A626B"/>
    <w:rsid w:val="006A751A"/>
    <w:rsid w:val="006B0924"/>
    <w:rsid w:val="006B16E3"/>
    <w:rsid w:val="006B23F8"/>
    <w:rsid w:val="006B2E64"/>
    <w:rsid w:val="006B3E3C"/>
    <w:rsid w:val="006B3EEC"/>
    <w:rsid w:val="006B709D"/>
    <w:rsid w:val="006B79EF"/>
    <w:rsid w:val="006C17D1"/>
    <w:rsid w:val="006C38E2"/>
    <w:rsid w:val="006C5EC0"/>
    <w:rsid w:val="006C7D21"/>
    <w:rsid w:val="006D0F86"/>
    <w:rsid w:val="006D2B88"/>
    <w:rsid w:val="006D31BB"/>
    <w:rsid w:val="006D4F06"/>
    <w:rsid w:val="006E2F1E"/>
    <w:rsid w:val="006E3CB7"/>
    <w:rsid w:val="006E3F5F"/>
    <w:rsid w:val="006E3FA3"/>
    <w:rsid w:val="006E4705"/>
    <w:rsid w:val="006E541D"/>
    <w:rsid w:val="006E7932"/>
    <w:rsid w:val="006F29EB"/>
    <w:rsid w:val="006F53E5"/>
    <w:rsid w:val="006F6BCB"/>
    <w:rsid w:val="00700BD6"/>
    <w:rsid w:val="00700BF0"/>
    <w:rsid w:val="0070144E"/>
    <w:rsid w:val="00702597"/>
    <w:rsid w:val="00705414"/>
    <w:rsid w:val="00705D8B"/>
    <w:rsid w:val="00705DEE"/>
    <w:rsid w:val="00706BEC"/>
    <w:rsid w:val="00707BF8"/>
    <w:rsid w:val="00710294"/>
    <w:rsid w:val="007105CE"/>
    <w:rsid w:val="00710888"/>
    <w:rsid w:val="007120E3"/>
    <w:rsid w:val="007129E2"/>
    <w:rsid w:val="0072166F"/>
    <w:rsid w:val="00721AD3"/>
    <w:rsid w:val="00721E24"/>
    <w:rsid w:val="0072363D"/>
    <w:rsid w:val="00723F80"/>
    <w:rsid w:val="00724389"/>
    <w:rsid w:val="0072483D"/>
    <w:rsid w:val="007257B8"/>
    <w:rsid w:val="00726A7D"/>
    <w:rsid w:val="0073059E"/>
    <w:rsid w:val="00732E30"/>
    <w:rsid w:val="00733F94"/>
    <w:rsid w:val="0073409A"/>
    <w:rsid w:val="00737B8C"/>
    <w:rsid w:val="0074176E"/>
    <w:rsid w:val="0074183C"/>
    <w:rsid w:val="00742CD7"/>
    <w:rsid w:val="00745E4C"/>
    <w:rsid w:val="007461D4"/>
    <w:rsid w:val="0074647C"/>
    <w:rsid w:val="0074739E"/>
    <w:rsid w:val="00750204"/>
    <w:rsid w:val="00750E22"/>
    <w:rsid w:val="00752D1D"/>
    <w:rsid w:val="00753565"/>
    <w:rsid w:val="00754262"/>
    <w:rsid w:val="00754584"/>
    <w:rsid w:val="007551EE"/>
    <w:rsid w:val="00760579"/>
    <w:rsid w:val="00760D09"/>
    <w:rsid w:val="00760F14"/>
    <w:rsid w:val="007614CB"/>
    <w:rsid w:val="00761FC1"/>
    <w:rsid w:val="00764BEF"/>
    <w:rsid w:val="007657F7"/>
    <w:rsid w:val="00765C01"/>
    <w:rsid w:val="00766772"/>
    <w:rsid w:val="007676CC"/>
    <w:rsid w:val="00767CAD"/>
    <w:rsid w:val="007706A9"/>
    <w:rsid w:val="00771070"/>
    <w:rsid w:val="0077244A"/>
    <w:rsid w:val="00772FBA"/>
    <w:rsid w:val="0077343C"/>
    <w:rsid w:val="007736F3"/>
    <w:rsid w:val="007741B0"/>
    <w:rsid w:val="00775114"/>
    <w:rsid w:val="007778D3"/>
    <w:rsid w:val="007809E9"/>
    <w:rsid w:val="0078217F"/>
    <w:rsid w:val="007857B7"/>
    <w:rsid w:val="00785BEE"/>
    <w:rsid w:val="00785E36"/>
    <w:rsid w:val="00786F7A"/>
    <w:rsid w:val="007879E9"/>
    <w:rsid w:val="00790ECC"/>
    <w:rsid w:val="0079139B"/>
    <w:rsid w:val="00792BBA"/>
    <w:rsid w:val="007937F0"/>
    <w:rsid w:val="0079655B"/>
    <w:rsid w:val="00796AC1"/>
    <w:rsid w:val="0079728C"/>
    <w:rsid w:val="007A0740"/>
    <w:rsid w:val="007A078D"/>
    <w:rsid w:val="007A18F3"/>
    <w:rsid w:val="007A1973"/>
    <w:rsid w:val="007A2493"/>
    <w:rsid w:val="007A2954"/>
    <w:rsid w:val="007A2993"/>
    <w:rsid w:val="007A43B9"/>
    <w:rsid w:val="007A4D05"/>
    <w:rsid w:val="007A5322"/>
    <w:rsid w:val="007A5360"/>
    <w:rsid w:val="007A6223"/>
    <w:rsid w:val="007A66C8"/>
    <w:rsid w:val="007B040E"/>
    <w:rsid w:val="007B0D39"/>
    <w:rsid w:val="007B0F5A"/>
    <w:rsid w:val="007B118B"/>
    <w:rsid w:val="007B3A70"/>
    <w:rsid w:val="007B4368"/>
    <w:rsid w:val="007B7048"/>
    <w:rsid w:val="007B7239"/>
    <w:rsid w:val="007B7A77"/>
    <w:rsid w:val="007C105E"/>
    <w:rsid w:val="007C1A39"/>
    <w:rsid w:val="007C3981"/>
    <w:rsid w:val="007C4582"/>
    <w:rsid w:val="007C4609"/>
    <w:rsid w:val="007C6F32"/>
    <w:rsid w:val="007C7817"/>
    <w:rsid w:val="007C78B5"/>
    <w:rsid w:val="007D1127"/>
    <w:rsid w:val="007D117E"/>
    <w:rsid w:val="007D1A69"/>
    <w:rsid w:val="007D1AB9"/>
    <w:rsid w:val="007D2057"/>
    <w:rsid w:val="007D20E4"/>
    <w:rsid w:val="007D284D"/>
    <w:rsid w:val="007D292D"/>
    <w:rsid w:val="007D36D8"/>
    <w:rsid w:val="007D47B3"/>
    <w:rsid w:val="007D6E0D"/>
    <w:rsid w:val="007D77EA"/>
    <w:rsid w:val="007D79A4"/>
    <w:rsid w:val="007D7EF2"/>
    <w:rsid w:val="007E0FFD"/>
    <w:rsid w:val="007E12A5"/>
    <w:rsid w:val="007E1F19"/>
    <w:rsid w:val="007E31CD"/>
    <w:rsid w:val="007E39FC"/>
    <w:rsid w:val="007E3E19"/>
    <w:rsid w:val="007E5822"/>
    <w:rsid w:val="007E7968"/>
    <w:rsid w:val="007E7BDA"/>
    <w:rsid w:val="007F10AA"/>
    <w:rsid w:val="007F4328"/>
    <w:rsid w:val="007F4402"/>
    <w:rsid w:val="007F59F4"/>
    <w:rsid w:val="007F5B1B"/>
    <w:rsid w:val="007F5D8F"/>
    <w:rsid w:val="007F6050"/>
    <w:rsid w:val="007F6175"/>
    <w:rsid w:val="007F6971"/>
    <w:rsid w:val="007F70EE"/>
    <w:rsid w:val="008023D4"/>
    <w:rsid w:val="00803574"/>
    <w:rsid w:val="00805CD2"/>
    <w:rsid w:val="00805EDD"/>
    <w:rsid w:val="008064F9"/>
    <w:rsid w:val="008073C5"/>
    <w:rsid w:val="00811A23"/>
    <w:rsid w:val="00811B72"/>
    <w:rsid w:val="00812B3B"/>
    <w:rsid w:val="00813ECD"/>
    <w:rsid w:val="00815D7D"/>
    <w:rsid w:val="00820BEE"/>
    <w:rsid w:val="00820E89"/>
    <w:rsid w:val="00821BB2"/>
    <w:rsid w:val="00822CAC"/>
    <w:rsid w:val="00823858"/>
    <w:rsid w:val="00823D6D"/>
    <w:rsid w:val="0082528E"/>
    <w:rsid w:val="0082668D"/>
    <w:rsid w:val="008266AE"/>
    <w:rsid w:val="0082786E"/>
    <w:rsid w:val="00833813"/>
    <w:rsid w:val="00833C68"/>
    <w:rsid w:val="00833E5C"/>
    <w:rsid w:val="008365AA"/>
    <w:rsid w:val="0084176E"/>
    <w:rsid w:val="0084333E"/>
    <w:rsid w:val="00843F55"/>
    <w:rsid w:val="00844D8E"/>
    <w:rsid w:val="008467F0"/>
    <w:rsid w:val="008479F0"/>
    <w:rsid w:val="00850667"/>
    <w:rsid w:val="00850AE3"/>
    <w:rsid w:val="00852073"/>
    <w:rsid w:val="00853D4B"/>
    <w:rsid w:val="00854644"/>
    <w:rsid w:val="00856169"/>
    <w:rsid w:val="0086036C"/>
    <w:rsid w:val="00863E2B"/>
    <w:rsid w:val="00871385"/>
    <w:rsid w:val="00873B71"/>
    <w:rsid w:val="008740DD"/>
    <w:rsid w:val="0087493B"/>
    <w:rsid w:val="008759A3"/>
    <w:rsid w:val="00876E88"/>
    <w:rsid w:val="00877792"/>
    <w:rsid w:val="008807CA"/>
    <w:rsid w:val="00881BD2"/>
    <w:rsid w:val="0088212F"/>
    <w:rsid w:val="00883A10"/>
    <w:rsid w:val="00885E0C"/>
    <w:rsid w:val="00886AEF"/>
    <w:rsid w:val="00886B72"/>
    <w:rsid w:val="008906C2"/>
    <w:rsid w:val="00890AB1"/>
    <w:rsid w:val="008917C6"/>
    <w:rsid w:val="008922F5"/>
    <w:rsid w:val="00892608"/>
    <w:rsid w:val="00892D4C"/>
    <w:rsid w:val="00893A5D"/>
    <w:rsid w:val="0089430A"/>
    <w:rsid w:val="008959EA"/>
    <w:rsid w:val="00895D5C"/>
    <w:rsid w:val="00896B90"/>
    <w:rsid w:val="008A08E6"/>
    <w:rsid w:val="008A0958"/>
    <w:rsid w:val="008A1553"/>
    <w:rsid w:val="008A2A74"/>
    <w:rsid w:val="008A3D54"/>
    <w:rsid w:val="008A3E03"/>
    <w:rsid w:val="008A458A"/>
    <w:rsid w:val="008A4A26"/>
    <w:rsid w:val="008A4F89"/>
    <w:rsid w:val="008A50DD"/>
    <w:rsid w:val="008A59B8"/>
    <w:rsid w:val="008A5D51"/>
    <w:rsid w:val="008A6A6A"/>
    <w:rsid w:val="008B03CD"/>
    <w:rsid w:val="008B2883"/>
    <w:rsid w:val="008B2B67"/>
    <w:rsid w:val="008B349F"/>
    <w:rsid w:val="008B59CC"/>
    <w:rsid w:val="008B7EC6"/>
    <w:rsid w:val="008C09FD"/>
    <w:rsid w:val="008C1859"/>
    <w:rsid w:val="008C1F7A"/>
    <w:rsid w:val="008C3032"/>
    <w:rsid w:val="008C37F6"/>
    <w:rsid w:val="008C3878"/>
    <w:rsid w:val="008C6276"/>
    <w:rsid w:val="008C6BEF"/>
    <w:rsid w:val="008C6FED"/>
    <w:rsid w:val="008D013C"/>
    <w:rsid w:val="008D0E4D"/>
    <w:rsid w:val="008D12C3"/>
    <w:rsid w:val="008D24D7"/>
    <w:rsid w:val="008D27FB"/>
    <w:rsid w:val="008D2F98"/>
    <w:rsid w:val="008E0121"/>
    <w:rsid w:val="008E0D41"/>
    <w:rsid w:val="008E0F14"/>
    <w:rsid w:val="008E2CE7"/>
    <w:rsid w:val="008E37BA"/>
    <w:rsid w:val="008E4919"/>
    <w:rsid w:val="008E5459"/>
    <w:rsid w:val="008E58D9"/>
    <w:rsid w:val="008E625D"/>
    <w:rsid w:val="008E6E3C"/>
    <w:rsid w:val="008E79B1"/>
    <w:rsid w:val="008F087C"/>
    <w:rsid w:val="008F164E"/>
    <w:rsid w:val="008F2E3F"/>
    <w:rsid w:val="008F4D56"/>
    <w:rsid w:val="008F515B"/>
    <w:rsid w:val="008F6855"/>
    <w:rsid w:val="00900229"/>
    <w:rsid w:val="0090283C"/>
    <w:rsid w:val="00905403"/>
    <w:rsid w:val="0090557F"/>
    <w:rsid w:val="00905E38"/>
    <w:rsid w:val="00910E8F"/>
    <w:rsid w:val="00912B23"/>
    <w:rsid w:val="009142AE"/>
    <w:rsid w:val="00917DE4"/>
    <w:rsid w:val="00917F1A"/>
    <w:rsid w:val="00920909"/>
    <w:rsid w:val="009213D5"/>
    <w:rsid w:val="0092269C"/>
    <w:rsid w:val="0092419F"/>
    <w:rsid w:val="009253AD"/>
    <w:rsid w:val="00927D64"/>
    <w:rsid w:val="00932EC7"/>
    <w:rsid w:val="009337B0"/>
    <w:rsid w:val="009346CF"/>
    <w:rsid w:val="00934AF9"/>
    <w:rsid w:val="00935818"/>
    <w:rsid w:val="00935FD4"/>
    <w:rsid w:val="00940472"/>
    <w:rsid w:val="009406AD"/>
    <w:rsid w:val="009419B9"/>
    <w:rsid w:val="00942A33"/>
    <w:rsid w:val="00946C27"/>
    <w:rsid w:val="00946FEC"/>
    <w:rsid w:val="00951620"/>
    <w:rsid w:val="00951868"/>
    <w:rsid w:val="00957EB0"/>
    <w:rsid w:val="00957FE6"/>
    <w:rsid w:val="0096234F"/>
    <w:rsid w:val="00964C41"/>
    <w:rsid w:val="00966DBC"/>
    <w:rsid w:val="00967922"/>
    <w:rsid w:val="00967E2A"/>
    <w:rsid w:val="00971F60"/>
    <w:rsid w:val="00972061"/>
    <w:rsid w:val="00972163"/>
    <w:rsid w:val="00973C17"/>
    <w:rsid w:val="00977116"/>
    <w:rsid w:val="00977E71"/>
    <w:rsid w:val="0098054F"/>
    <w:rsid w:val="0098278F"/>
    <w:rsid w:val="00983EE8"/>
    <w:rsid w:val="00986BB2"/>
    <w:rsid w:val="00987447"/>
    <w:rsid w:val="00990FA3"/>
    <w:rsid w:val="00991936"/>
    <w:rsid w:val="00994FCF"/>
    <w:rsid w:val="00995FDC"/>
    <w:rsid w:val="009974A1"/>
    <w:rsid w:val="00997ED2"/>
    <w:rsid w:val="009A0B15"/>
    <w:rsid w:val="009A2055"/>
    <w:rsid w:val="009A386B"/>
    <w:rsid w:val="009A3B52"/>
    <w:rsid w:val="009A4467"/>
    <w:rsid w:val="009A4630"/>
    <w:rsid w:val="009A79B8"/>
    <w:rsid w:val="009B24B6"/>
    <w:rsid w:val="009B303D"/>
    <w:rsid w:val="009B4377"/>
    <w:rsid w:val="009B46B0"/>
    <w:rsid w:val="009B57BB"/>
    <w:rsid w:val="009B5F26"/>
    <w:rsid w:val="009B633C"/>
    <w:rsid w:val="009B79DA"/>
    <w:rsid w:val="009C21C3"/>
    <w:rsid w:val="009C4194"/>
    <w:rsid w:val="009C46E7"/>
    <w:rsid w:val="009C4A7A"/>
    <w:rsid w:val="009C4A81"/>
    <w:rsid w:val="009C7BE8"/>
    <w:rsid w:val="009D085E"/>
    <w:rsid w:val="009D1A71"/>
    <w:rsid w:val="009D1EF4"/>
    <w:rsid w:val="009D3364"/>
    <w:rsid w:val="009D5613"/>
    <w:rsid w:val="009D732F"/>
    <w:rsid w:val="009E0028"/>
    <w:rsid w:val="009E3F26"/>
    <w:rsid w:val="009E4132"/>
    <w:rsid w:val="009E538B"/>
    <w:rsid w:val="009E5DA4"/>
    <w:rsid w:val="009E7CA4"/>
    <w:rsid w:val="009F3B50"/>
    <w:rsid w:val="00A0005C"/>
    <w:rsid w:val="00A00AF1"/>
    <w:rsid w:val="00A012FD"/>
    <w:rsid w:val="00A02FCA"/>
    <w:rsid w:val="00A033FF"/>
    <w:rsid w:val="00A06BD2"/>
    <w:rsid w:val="00A1067F"/>
    <w:rsid w:val="00A10D54"/>
    <w:rsid w:val="00A1115F"/>
    <w:rsid w:val="00A12868"/>
    <w:rsid w:val="00A13364"/>
    <w:rsid w:val="00A14DB8"/>
    <w:rsid w:val="00A165F7"/>
    <w:rsid w:val="00A176FF"/>
    <w:rsid w:val="00A22919"/>
    <w:rsid w:val="00A2308C"/>
    <w:rsid w:val="00A247BC"/>
    <w:rsid w:val="00A2645B"/>
    <w:rsid w:val="00A3004D"/>
    <w:rsid w:val="00A30432"/>
    <w:rsid w:val="00A3105D"/>
    <w:rsid w:val="00A33627"/>
    <w:rsid w:val="00A33A76"/>
    <w:rsid w:val="00A33BF1"/>
    <w:rsid w:val="00A35A02"/>
    <w:rsid w:val="00A42AAC"/>
    <w:rsid w:val="00A42C03"/>
    <w:rsid w:val="00A43857"/>
    <w:rsid w:val="00A439F1"/>
    <w:rsid w:val="00A45716"/>
    <w:rsid w:val="00A45AA4"/>
    <w:rsid w:val="00A46120"/>
    <w:rsid w:val="00A473F0"/>
    <w:rsid w:val="00A505A2"/>
    <w:rsid w:val="00A514FF"/>
    <w:rsid w:val="00A518D3"/>
    <w:rsid w:val="00A51B2C"/>
    <w:rsid w:val="00A52767"/>
    <w:rsid w:val="00A54869"/>
    <w:rsid w:val="00A548E4"/>
    <w:rsid w:val="00A55BBA"/>
    <w:rsid w:val="00A6243F"/>
    <w:rsid w:val="00A65872"/>
    <w:rsid w:val="00A672F3"/>
    <w:rsid w:val="00A7084F"/>
    <w:rsid w:val="00A72403"/>
    <w:rsid w:val="00A72B42"/>
    <w:rsid w:val="00A73CD3"/>
    <w:rsid w:val="00A7416A"/>
    <w:rsid w:val="00A764F1"/>
    <w:rsid w:val="00A76F77"/>
    <w:rsid w:val="00A77325"/>
    <w:rsid w:val="00A82223"/>
    <w:rsid w:val="00A86B9C"/>
    <w:rsid w:val="00A87590"/>
    <w:rsid w:val="00A87AE7"/>
    <w:rsid w:val="00A920A5"/>
    <w:rsid w:val="00A946F5"/>
    <w:rsid w:val="00A9687C"/>
    <w:rsid w:val="00A971CD"/>
    <w:rsid w:val="00AA11BC"/>
    <w:rsid w:val="00AA2A2D"/>
    <w:rsid w:val="00AA3B44"/>
    <w:rsid w:val="00AA49EC"/>
    <w:rsid w:val="00AA4AF1"/>
    <w:rsid w:val="00AA5A2A"/>
    <w:rsid w:val="00AA5EC5"/>
    <w:rsid w:val="00AA643C"/>
    <w:rsid w:val="00AA7D88"/>
    <w:rsid w:val="00AA7E92"/>
    <w:rsid w:val="00AB13EA"/>
    <w:rsid w:val="00AB488C"/>
    <w:rsid w:val="00AB634F"/>
    <w:rsid w:val="00AB78DD"/>
    <w:rsid w:val="00AC2748"/>
    <w:rsid w:val="00AC2BCE"/>
    <w:rsid w:val="00AC43A9"/>
    <w:rsid w:val="00AC70EB"/>
    <w:rsid w:val="00AC797C"/>
    <w:rsid w:val="00AD192C"/>
    <w:rsid w:val="00AD1BDA"/>
    <w:rsid w:val="00AD2A81"/>
    <w:rsid w:val="00AD3EB4"/>
    <w:rsid w:val="00AD459A"/>
    <w:rsid w:val="00AD74E7"/>
    <w:rsid w:val="00AD77AA"/>
    <w:rsid w:val="00AE29B1"/>
    <w:rsid w:val="00AE4979"/>
    <w:rsid w:val="00AE4FBF"/>
    <w:rsid w:val="00AE5790"/>
    <w:rsid w:val="00AE5BDD"/>
    <w:rsid w:val="00AE6A24"/>
    <w:rsid w:val="00AF01ED"/>
    <w:rsid w:val="00AF06B7"/>
    <w:rsid w:val="00AF1701"/>
    <w:rsid w:val="00AF1EEE"/>
    <w:rsid w:val="00AF2709"/>
    <w:rsid w:val="00AF604D"/>
    <w:rsid w:val="00AF64AC"/>
    <w:rsid w:val="00AF6531"/>
    <w:rsid w:val="00AF6E9D"/>
    <w:rsid w:val="00AF70CB"/>
    <w:rsid w:val="00AF757A"/>
    <w:rsid w:val="00AF7831"/>
    <w:rsid w:val="00B02DD3"/>
    <w:rsid w:val="00B02ECC"/>
    <w:rsid w:val="00B10B12"/>
    <w:rsid w:val="00B10E58"/>
    <w:rsid w:val="00B10E86"/>
    <w:rsid w:val="00B14725"/>
    <w:rsid w:val="00B15945"/>
    <w:rsid w:val="00B15A2E"/>
    <w:rsid w:val="00B161DE"/>
    <w:rsid w:val="00B1716A"/>
    <w:rsid w:val="00B204C9"/>
    <w:rsid w:val="00B20E59"/>
    <w:rsid w:val="00B21780"/>
    <w:rsid w:val="00B22139"/>
    <w:rsid w:val="00B22718"/>
    <w:rsid w:val="00B23642"/>
    <w:rsid w:val="00B2526F"/>
    <w:rsid w:val="00B25D7A"/>
    <w:rsid w:val="00B2651E"/>
    <w:rsid w:val="00B2711C"/>
    <w:rsid w:val="00B31191"/>
    <w:rsid w:val="00B31CC3"/>
    <w:rsid w:val="00B33EAD"/>
    <w:rsid w:val="00B34203"/>
    <w:rsid w:val="00B34973"/>
    <w:rsid w:val="00B34F28"/>
    <w:rsid w:val="00B35702"/>
    <w:rsid w:val="00B36C93"/>
    <w:rsid w:val="00B37630"/>
    <w:rsid w:val="00B37EBB"/>
    <w:rsid w:val="00B42BAD"/>
    <w:rsid w:val="00B45AC3"/>
    <w:rsid w:val="00B460EE"/>
    <w:rsid w:val="00B464D9"/>
    <w:rsid w:val="00B46D88"/>
    <w:rsid w:val="00B50F77"/>
    <w:rsid w:val="00B52250"/>
    <w:rsid w:val="00B52382"/>
    <w:rsid w:val="00B52902"/>
    <w:rsid w:val="00B5323C"/>
    <w:rsid w:val="00B53A05"/>
    <w:rsid w:val="00B54FBC"/>
    <w:rsid w:val="00B55FE6"/>
    <w:rsid w:val="00B5604F"/>
    <w:rsid w:val="00B5625A"/>
    <w:rsid w:val="00B56619"/>
    <w:rsid w:val="00B579BF"/>
    <w:rsid w:val="00B6077A"/>
    <w:rsid w:val="00B61AEB"/>
    <w:rsid w:val="00B6343F"/>
    <w:rsid w:val="00B63644"/>
    <w:rsid w:val="00B63912"/>
    <w:rsid w:val="00B64572"/>
    <w:rsid w:val="00B649C6"/>
    <w:rsid w:val="00B7118B"/>
    <w:rsid w:val="00B71E23"/>
    <w:rsid w:val="00B72A78"/>
    <w:rsid w:val="00B73538"/>
    <w:rsid w:val="00B74045"/>
    <w:rsid w:val="00B773A0"/>
    <w:rsid w:val="00B774DA"/>
    <w:rsid w:val="00B77712"/>
    <w:rsid w:val="00B77895"/>
    <w:rsid w:val="00B77E05"/>
    <w:rsid w:val="00B80E37"/>
    <w:rsid w:val="00B81E09"/>
    <w:rsid w:val="00B82B2B"/>
    <w:rsid w:val="00B83268"/>
    <w:rsid w:val="00B84673"/>
    <w:rsid w:val="00B86300"/>
    <w:rsid w:val="00B91B6A"/>
    <w:rsid w:val="00B9306E"/>
    <w:rsid w:val="00B93EE1"/>
    <w:rsid w:val="00B961B7"/>
    <w:rsid w:val="00B96695"/>
    <w:rsid w:val="00B96DB7"/>
    <w:rsid w:val="00BA0059"/>
    <w:rsid w:val="00BA06F8"/>
    <w:rsid w:val="00BA0FEA"/>
    <w:rsid w:val="00BA1644"/>
    <w:rsid w:val="00BA316D"/>
    <w:rsid w:val="00BA55F6"/>
    <w:rsid w:val="00BA7E33"/>
    <w:rsid w:val="00BB06F7"/>
    <w:rsid w:val="00BB0EB4"/>
    <w:rsid w:val="00BB32BC"/>
    <w:rsid w:val="00BB510A"/>
    <w:rsid w:val="00BB611E"/>
    <w:rsid w:val="00BB68C0"/>
    <w:rsid w:val="00BB6A67"/>
    <w:rsid w:val="00BB710E"/>
    <w:rsid w:val="00BC10EF"/>
    <w:rsid w:val="00BC26CE"/>
    <w:rsid w:val="00BC65B0"/>
    <w:rsid w:val="00BC6E14"/>
    <w:rsid w:val="00BC6E2F"/>
    <w:rsid w:val="00BD0D6F"/>
    <w:rsid w:val="00BD1B35"/>
    <w:rsid w:val="00BD1DD6"/>
    <w:rsid w:val="00BD7521"/>
    <w:rsid w:val="00BE05ED"/>
    <w:rsid w:val="00BE0CF4"/>
    <w:rsid w:val="00BE1B28"/>
    <w:rsid w:val="00BE1C63"/>
    <w:rsid w:val="00BE1E45"/>
    <w:rsid w:val="00BE3028"/>
    <w:rsid w:val="00BE30A9"/>
    <w:rsid w:val="00BE33DC"/>
    <w:rsid w:val="00BE514A"/>
    <w:rsid w:val="00BE520F"/>
    <w:rsid w:val="00BE619C"/>
    <w:rsid w:val="00BE6AAF"/>
    <w:rsid w:val="00BE7082"/>
    <w:rsid w:val="00BE7AAD"/>
    <w:rsid w:val="00BF0DC6"/>
    <w:rsid w:val="00BF0EE3"/>
    <w:rsid w:val="00BF303D"/>
    <w:rsid w:val="00BF53EF"/>
    <w:rsid w:val="00BF5D4E"/>
    <w:rsid w:val="00BF7804"/>
    <w:rsid w:val="00C00701"/>
    <w:rsid w:val="00C00860"/>
    <w:rsid w:val="00C0148D"/>
    <w:rsid w:val="00C02B69"/>
    <w:rsid w:val="00C047C6"/>
    <w:rsid w:val="00C04976"/>
    <w:rsid w:val="00C05DAD"/>
    <w:rsid w:val="00C06341"/>
    <w:rsid w:val="00C06CA1"/>
    <w:rsid w:val="00C10E03"/>
    <w:rsid w:val="00C12FB5"/>
    <w:rsid w:val="00C136D4"/>
    <w:rsid w:val="00C13EAB"/>
    <w:rsid w:val="00C15AD6"/>
    <w:rsid w:val="00C15D9B"/>
    <w:rsid w:val="00C1671B"/>
    <w:rsid w:val="00C20195"/>
    <w:rsid w:val="00C2181A"/>
    <w:rsid w:val="00C22CB7"/>
    <w:rsid w:val="00C238D0"/>
    <w:rsid w:val="00C254D8"/>
    <w:rsid w:val="00C267CC"/>
    <w:rsid w:val="00C26EBC"/>
    <w:rsid w:val="00C279A6"/>
    <w:rsid w:val="00C30E62"/>
    <w:rsid w:val="00C3323C"/>
    <w:rsid w:val="00C33690"/>
    <w:rsid w:val="00C34BF3"/>
    <w:rsid w:val="00C36137"/>
    <w:rsid w:val="00C364E0"/>
    <w:rsid w:val="00C37FC9"/>
    <w:rsid w:val="00C41AB6"/>
    <w:rsid w:val="00C41E54"/>
    <w:rsid w:val="00C420AF"/>
    <w:rsid w:val="00C431E7"/>
    <w:rsid w:val="00C43639"/>
    <w:rsid w:val="00C457C1"/>
    <w:rsid w:val="00C479D8"/>
    <w:rsid w:val="00C47F59"/>
    <w:rsid w:val="00C50240"/>
    <w:rsid w:val="00C5031B"/>
    <w:rsid w:val="00C50AE6"/>
    <w:rsid w:val="00C51153"/>
    <w:rsid w:val="00C5149F"/>
    <w:rsid w:val="00C520CD"/>
    <w:rsid w:val="00C52151"/>
    <w:rsid w:val="00C53D52"/>
    <w:rsid w:val="00C54546"/>
    <w:rsid w:val="00C545DD"/>
    <w:rsid w:val="00C55C36"/>
    <w:rsid w:val="00C57E61"/>
    <w:rsid w:val="00C60953"/>
    <w:rsid w:val="00C60D3C"/>
    <w:rsid w:val="00C61A9D"/>
    <w:rsid w:val="00C7130F"/>
    <w:rsid w:val="00C7477E"/>
    <w:rsid w:val="00C75084"/>
    <w:rsid w:val="00C75287"/>
    <w:rsid w:val="00C75684"/>
    <w:rsid w:val="00C75C44"/>
    <w:rsid w:val="00C7760F"/>
    <w:rsid w:val="00C777C3"/>
    <w:rsid w:val="00C81E0F"/>
    <w:rsid w:val="00C82545"/>
    <w:rsid w:val="00C832E5"/>
    <w:rsid w:val="00C85544"/>
    <w:rsid w:val="00C87658"/>
    <w:rsid w:val="00C878ED"/>
    <w:rsid w:val="00C91171"/>
    <w:rsid w:val="00C926C5"/>
    <w:rsid w:val="00C93A99"/>
    <w:rsid w:val="00C9424B"/>
    <w:rsid w:val="00C9471A"/>
    <w:rsid w:val="00C94D97"/>
    <w:rsid w:val="00C9530F"/>
    <w:rsid w:val="00C954F1"/>
    <w:rsid w:val="00C95A55"/>
    <w:rsid w:val="00C9739B"/>
    <w:rsid w:val="00C97780"/>
    <w:rsid w:val="00CA1132"/>
    <w:rsid w:val="00CA15A2"/>
    <w:rsid w:val="00CA2BEA"/>
    <w:rsid w:val="00CA5E8A"/>
    <w:rsid w:val="00CA70FC"/>
    <w:rsid w:val="00CB0A91"/>
    <w:rsid w:val="00CB1164"/>
    <w:rsid w:val="00CB1558"/>
    <w:rsid w:val="00CB2B53"/>
    <w:rsid w:val="00CB318F"/>
    <w:rsid w:val="00CB447C"/>
    <w:rsid w:val="00CB463B"/>
    <w:rsid w:val="00CB4952"/>
    <w:rsid w:val="00CB772A"/>
    <w:rsid w:val="00CC0036"/>
    <w:rsid w:val="00CC022F"/>
    <w:rsid w:val="00CC0238"/>
    <w:rsid w:val="00CC12FD"/>
    <w:rsid w:val="00CC24AF"/>
    <w:rsid w:val="00CC2776"/>
    <w:rsid w:val="00CC2C1B"/>
    <w:rsid w:val="00CC4687"/>
    <w:rsid w:val="00CC4770"/>
    <w:rsid w:val="00CC5A56"/>
    <w:rsid w:val="00CC6137"/>
    <w:rsid w:val="00CC65D9"/>
    <w:rsid w:val="00CC7F28"/>
    <w:rsid w:val="00CD39B4"/>
    <w:rsid w:val="00CD5568"/>
    <w:rsid w:val="00CD63BB"/>
    <w:rsid w:val="00CD68A8"/>
    <w:rsid w:val="00CE3423"/>
    <w:rsid w:val="00CE3D17"/>
    <w:rsid w:val="00CE452D"/>
    <w:rsid w:val="00CE4D58"/>
    <w:rsid w:val="00CE58E7"/>
    <w:rsid w:val="00CE70EC"/>
    <w:rsid w:val="00CF439F"/>
    <w:rsid w:val="00CF4EAB"/>
    <w:rsid w:val="00CF4FE6"/>
    <w:rsid w:val="00CF7897"/>
    <w:rsid w:val="00D039AE"/>
    <w:rsid w:val="00D051DF"/>
    <w:rsid w:val="00D05228"/>
    <w:rsid w:val="00D06478"/>
    <w:rsid w:val="00D06E02"/>
    <w:rsid w:val="00D07F2E"/>
    <w:rsid w:val="00D10DF8"/>
    <w:rsid w:val="00D10F55"/>
    <w:rsid w:val="00D11E97"/>
    <w:rsid w:val="00D13A8E"/>
    <w:rsid w:val="00D13F2F"/>
    <w:rsid w:val="00D151EC"/>
    <w:rsid w:val="00D15D4B"/>
    <w:rsid w:val="00D16A6A"/>
    <w:rsid w:val="00D170FB"/>
    <w:rsid w:val="00D20098"/>
    <w:rsid w:val="00D216E0"/>
    <w:rsid w:val="00D21DE0"/>
    <w:rsid w:val="00D23003"/>
    <w:rsid w:val="00D237E6"/>
    <w:rsid w:val="00D2466B"/>
    <w:rsid w:val="00D24933"/>
    <w:rsid w:val="00D253AF"/>
    <w:rsid w:val="00D260CF"/>
    <w:rsid w:val="00D2622A"/>
    <w:rsid w:val="00D31E0E"/>
    <w:rsid w:val="00D321C3"/>
    <w:rsid w:val="00D331B8"/>
    <w:rsid w:val="00D3425E"/>
    <w:rsid w:val="00D37060"/>
    <w:rsid w:val="00D37B89"/>
    <w:rsid w:val="00D40506"/>
    <w:rsid w:val="00D4308C"/>
    <w:rsid w:val="00D44D14"/>
    <w:rsid w:val="00D4695B"/>
    <w:rsid w:val="00D5018E"/>
    <w:rsid w:val="00D508E5"/>
    <w:rsid w:val="00D5093D"/>
    <w:rsid w:val="00D50FFF"/>
    <w:rsid w:val="00D535C7"/>
    <w:rsid w:val="00D56955"/>
    <w:rsid w:val="00D57806"/>
    <w:rsid w:val="00D57E6D"/>
    <w:rsid w:val="00D60190"/>
    <w:rsid w:val="00D64454"/>
    <w:rsid w:val="00D64BB9"/>
    <w:rsid w:val="00D6533F"/>
    <w:rsid w:val="00D67393"/>
    <w:rsid w:val="00D676F3"/>
    <w:rsid w:val="00D67982"/>
    <w:rsid w:val="00D71980"/>
    <w:rsid w:val="00D71BCF"/>
    <w:rsid w:val="00D726E7"/>
    <w:rsid w:val="00D7321D"/>
    <w:rsid w:val="00D751F1"/>
    <w:rsid w:val="00D779C3"/>
    <w:rsid w:val="00D82824"/>
    <w:rsid w:val="00D82D6D"/>
    <w:rsid w:val="00D85B42"/>
    <w:rsid w:val="00D86C47"/>
    <w:rsid w:val="00D917CE"/>
    <w:rsid w:val="00D9186A"/>
    <w:rsid w:val="00D91BCE"/>
    <w:rsid w:val="00D92290"/>
    <w:rsid w:val="00D93B69"/>
    <w:rsid w:val="00D94201"/>
    <w:rsid w:val="00D97891"/>
    <w:rsid w:val="00DA0541"/>
    <w:rsid w:val="00DA0E1F"/>
    <w:rsid w:val="00DA1391"/>
    <w:rsid w:val="00DA19D5"/>
    <w:rsid w:val="00DA1FD5"/>
    <w:rsid w:val="00DA2B9A"/>
    <w:rsid w:val="00DA3685"/>
    <w:rsid w:val="00DA3AC7"/>
    <w:rsid w:val="00DA5464"/>
    <w:rsid w:val="00DA5F42"/>
    <w:rsid w:val="00DB020E"/>
    <w:rsid w:val="00DB0C1B"/>
    <w:rsid w:val="00DB10D7"/>
    <w:rsid w:val="00DB3243"/>
    <w:rsid w:val="00DB3820"/>
    <w:rsid w:val="00DB3E01"/>
    <w:rsid w:val="00DB4CA1"/>
    <w:rsid w:val="00DB561A"/>
    <w:rsid w:val="00DB5FB2"/>
    <w:rsid w:val="00DB7059"/>
    <w:rsid w:val="00DC0057"/>
    <w:rsid w:val="00DC0343"/>
    <w:rsid w:val="00DC1052"/>
    <w:rsid w:val="00DC4CA9"/>
    <w:rsid w:val="00DC5174"/>
    <w:rsid w:val="00DC6DE1"/>
    <w:rsid w:val="00DC6F42"/>
    <w:rsid w:val="00DD042D"/>
    <w:rsid w:val="00DD1FA2"/>
    <w:rsid w:val="00DD2C7D"/>
    <w:rsid w:val="00DD3068"/>
    <w:rsid w:val="00DD4CB4"/>
    <w:rsid w:val="00DD578D"/>
    <w:rsid w:val="00DD7161"/>
    <w:rsid w:val="00DD755C"/>
    <w:rsid w:val="00DD765D"/>
    <w:rsid w:val="00DE016A"/>
    <w:rsid w:val="00DE1929"/>
    <w:rsid w:val="00DE2904"/>
    <w:rsid w:val="00DE3345"/>
    <w:rsid w:val="00DE59EF"/>
    <w:rsid w:val="00DE7648"/>
    <w:rsid w:val="00DF07D6"/>
    <w:rsid w:val="00DF095D"/>
    <w:rsid w:val="00DF193F"/>
    <w:rsid w:val="00DF2F56"/>
    <w:rsid w:val="00DF3844"/>
    <w:rsid w:val="00DF537A"/>
    <w:rsid w:val="00DF5C5D"/>
    <w:rsid w:val="00DF62EB"/>
    <w:rsid w:val="00E014E0"/>
    <w:rsid w:val="00E027AC"/>
    <w:rsid w:val="00E05FED"/>
    <w:rsid w:val="00E06DEA"/>
    <w:rsid w:val="00E06F02"/>
    <w:rsid w:val="00E07E05"/>
    <w:rsid w:val="00E10616"/>
    <w:rsid w:val="00E10B4B"/>
    <w:rsid w:val="00E11B19"/>
    <w:rsid w:val="00E1360E"/>
    <w:rsid w:val="00E14B83"/>
    <w:rsid w:val="00E17109"/>
    <w:rsid w:val="00E1799A"/>
    <w:rsid w:val="00E22752"/>
    <w:rsid w:val="00E23378"/>
    <w:rsid w:val="00E23DC7"/>
    <w:rsid w:val="00E30AE2"/>
    <w:rsid w:val="00E3394C"/>
    <w:rsid w:val="00E3465E"/>
    <w:rsid w:val="00E36C21"/>
    <w:rsid w:val="00E36CFA"/>
    <w:rsid w:val="00E403D2"/>
    <w:rsid w:val="00E40DBC"/>
    <w:rsid w:val="00E4226A"/>
    <w:rsid w:val="00E42502"/>
    <w:rsid w:val="00E43743"/>
    <w:rsid w:val="00E43D76"/>
    <w:rsid w:val="00E50E52"/>
    <w:rsid w:val="00E51056"/>
    <w:rsid w:val="00E5140D"/>
    <w:rsid w:val="00E56DBC"/>
    <w:rsid w:val="00E60146"/>
    <w:rsid w:val="00E61458"/>
    <w:rsid w:val="00E62581"/>
    <w:rsid w:val="00E627BC"/>
    <w:rsid w:val="00E65188"/>
    <w:rsid w:val="00E66B17"/>
    <w:rsid w:val="00E66C77"/>
    <w:rsid w:val="00E66FA9"/>
    <w:rsid w:val="00E7574C"/>
    <w:rsid w:val="00E80D9D"/>
    <w:rsid w:val="00E83C55"/>
    <w:rsid w:val="00E840D3"/>
    <w:rsid w:val="00E8518E"/>
    <w:rsid w:val="00E85872"/>
    <w:rsid w:val="00E86A8C"/>
    <w:rsid w:val="00E90C69"/>
    <w:rsid w:val="00E9117C"/>
    <w:rsid w:val="00E91FD5"/>
    <w:rsid w:val="00E92B19"/>
    <w:rsid w:val="00E9696C"/>
    <w:rsid w:val="00EA322A"/>
    <w:rsid w:val="00EA46F1"/>
    <w:rsid w:val="00EA6720"/>
    <w:rsid w:val="00EB0403"/>
    <w:rsid w:val="00EB427A"/>
    <w:rsid w:val="00EB484C"/>
    <w:rsid w:val="00EB55C5"/>
    <w:rsid w:val="00EB71EB"/>
    <w:rsid w:val="00EC0293"/>
    <w:rsid w:val="00EC2F8A"/>
    <w:rsid w:val="00EC32B0"/>
    <w:rsid w:val="00EC356B"/>
    <w:rsid w:val="00EC4445"/>
    <w:rsid w:val="00EC4526"/>
    <w:rsid w:val="00EC7923"/>
    <w:rsid w:val="00ED0274"/>
    <w:rsid w:val="00ED0F49"/>
    <w:rsid w:val="00ED0F51"/>
    <w:rsid w:val="00ED396B"/>
    <w:rsid w:val="00ED51AD"/>
    <w:rsid w:val="00EE0C57"/>
    <w:rsid w:val="00EE0CFE"/>
    <w:rsid w:val="00EE0E4C"/>
    <w:rsid w:val="00EE1B7F"/>
    <w:rsid w:val="00EE1E07"/>
    <w:rsid w:val="00EE2311"/>
    <w:rsid w:val="00EE2B53"/>
    <w:rsid w:val="00EE3705"/>
    <w:rsid w:val="00EE38D0"/>
    <w:rsid w:val="00EE3B61"/>
    <w:rsid w:val="00EE3DCA"/>
    <w:rsid w:val="00EE432A"/>
    <w:rsid w:val="00EE7FBC"/>
    <w:rsid w:val="00EF3111"/>
    <w:rsid w:val="00EF5FE6"/>
    <w:rsid w:val="00F00FB7"/>
    <w:rsid w:val="00F0274A"/>
    <w:rsid w:val="00F02A16"/>
    <w:rsid w:val="00F04842"/>
    <w:rsid w:val="00F04CB5"/>
    <w:rsid w:val="00F10DB7"/>
    <w:rsid w:val="00F111A6"/>
    <w:rsid w:val="00F11F01"/>
    <w:rsid w:val="00F13D37"/>
    <w:rsid w:val="00F140E1"/>
    <w:rsid w:val="00F14F7D"/>
    <w:rsid w:val="00F16852"/>
    <w:rsid w:val="00F17565"/>
    <w:rsid w:val="00F2027D"/>
    <w:rsid w:val="00F2078F"/>
    <w:rsid w:val="00F20C62"/>
    <w:rsid w:val="00F22CC6"/>
    <w:rsid w:val="00F24659"/>
    <w:rsid w:val="00F24E19"/>
    <w:rsid w:val="00F251B8"/>
    <w:rsid w:val="00F25363"/>
    <w:rsid w:val="00F25C16"/>
    <w:rsid w:val="00F30FCD"/>
    <w:rsid w:val="00F3166A"/>
    <w:rsid w:val="00F31B96"/>
    <w:rsid w:val="00F32570"/>
    <w:rsid w:val="00F336F5"/>
    <w:rsid w:val="00F33814"/>
    <w:rsid w:val="00F33F92"/>
    <w:rsid w:val="00F368FD"/>
    <w:rsid w:val="00F36D58"/>
    <w:rsid w:val="00F36E77"/>
    <w:rsid w:val="00F37BA0"/>
    <w:rsid w:val="00F37C77"/>
    <w:rsid w:val="00F37DF5"/>
    <w:rsid w:val="00F436F8"/>
    <w:rsid w:val="00F44C4F"/>
    <w:rsid w:val="00F45897"/>
    <w:rsid w:val="00F465BB"/>
    <w:rsid w:val="00F54034"/>
    <w:rsid w:val="00F540F9"/>
    <w:rsid w:val="00F5487B"/>
    <w:rsid w:val="00F54910"/>
    <w:rsid w:val="00F5538C"/>
    <w:rsid w:val="00F557B6"/>
    <w:rsid w:val="00F5640E"/>
    <w:rsid w:val="00F5764D"/>
    <w:rsid w:val="00F57C65"/>
    <w:rsid w:val="00F607D3"/>
    <w:rsid w:val="00F609CB"/>
    <w:rsid w:val="00F61E15"/>
    <w:rsid w:val="00F624A7"/>
    <w:rsid w:val="00F63875"/>
    <w:rsid w:val="00F64252"/>
    <w:rsid w:val="00F64423"/>
    <w:rsid w:val="00F66947"/>
    <w:rsid w:val="00F670A1"/>
    <w:rsid w:val="00F67A12"/>
    <w:rsid w:val="00F74221"/>
    <w:rsid w:val="00F7563F"/>
    <w:rsid w:val="00F83A22"/>
    <w:rsid w:val="00F86249"/>
    <w:rsid w:val="00F86766"/>
    <w:rsid w:val="00F91048"/>
    <w:rsid w:val="00F93B09"/>
    <w:rsid w:val="00F94359"/>
    <w:rsid w:val="00F954CB"/>
    <w:rsid w:val="00F9641B"/>
    <w:rsid w:val="00F9649A"/>
    <w:rsid w:val="00F96DBE"/>
    <w:rsid w:val="00F97A18"/>
    <w:rsid w:val="00FA0C02"/>
    <w:rsid w:val="00FA24EF"/>
    <w:rsid w:val="00FA415E"/>
    <w:rsid w:val="00FA4D19"/>
    <w:rsid w:val="00FA5C56"/>
    <w:rsid w:val="00FA5CBD"/>
    <w:rsid w:val="00FA6F52"/>
    <w:rsid w:val="00FB00C5"/>
    <w:rsid w:val="00FB43AF"/>
    <w:rsid w:val="00FB455F"/>
    <w:rsid w:val="00FB46B5"/>
    <w:rsid w:val="00FB5004"/>
    <w:rsid w:val="00FB57F1"/>
    <w:rsid w:val="00FB6477"/>
    <w:rsid w:val="00FC12A7"/>
    <w:rsid w:val="00FC1899"/>
    <w:rsid w:val="00FC2CBA"/>
    <w:rsid w:val="00FC39B6"/>
    <w:rsid w:val="00FC3DD5"/>
    <w:rsid w:val="00FC42E1"/>
    <w:rsid w:val="00FC49FA"/>
    <w:rsid w:val="00FC4C3B"/>
    <w:rsid w:val="00FC5059"/>
    <w:rsid w:val="00FC58AB"/>
    <w:rsid w:val="00FC5AF9"/>
    <w:rsid w:val="00FC5DB9"/>
    <w:rsid w:val="00FC6175"/>
    <w:rsid w:val="00FC7E5E"/>
    <w:rsid w:val="00FC7E94"/>
    <w:rsid w:val="00FD12A2"/>
    <w:rsid w:val="00FD3B7E"/>
    <w:rsid w:val="00FD3E28"/>
    <w:rsid w:val="00FD487F"/>
    <w:rsid w:val="00FD4C1B"/>
    <w:rsid w:val="00FD51D8"/>
    <w:rsid w:val="00FD6E9F"/>
    <w:rsid w:val="00FE0E51"/>
    <w:rsid w:val="00FE1CDF"/>
    <w:rsid w:val="00FE26B0"/>
    <w:rsid w:val="00FE4B7C"/>
    <w:rsid w:val="00FE5C7C"/>
    <w:rsid w:val="00FE6142"/>
    <w:rsid w:val="00FE7EE4"/>
    <w:rsid w:val="00FF1B76"/>
    <w:rsid w:val="00FF1BDC"/>
    <w:rsid w:val="00FF3E75"/>
    <w:rsid w:val="00FF4A1F"/>
    <w:rsid w:val="00FF4C40"/>
    <w:rsid w:val="00FF5EFF"/>
    <w:rsid w:val="00FF68D0"/>
    <w:rsid w:val="00FF69D9"/>
    <w:rsid w:val="051A9FA0"/>
    <w:rsid w:val="0769E7C9"/>
    <w:rsid w:val="118A72EB"/>
    <w:rsid w:val="14041C8D"/>
    <w:rsid w:val="157471ED"/>
    <w:rsid w:val="15A0783F"/>
    <w:rsid w:val="15BD1974"/>
    <w:rsid w:val="18542A1E"/>
    <w:rsid w:val="1B2FBF42"/>
    <w:rsid w:val="222379D0"/>
    <w:rsid w:val="2291018F"/>
    <w:rsid w:val="234D45F8"/>
    <w:rsid w:val="23FA4607"/>
    <w:rsid w:val="24EEA1D0"/>
    <w:rsid w:val="2916C8FE"/>
    <w:rsid w:val="2A680F3E"/>
    <w:rsid w:val="2A8420BA"/>
    <w:rsid w:val="2BBF4406"/>
    <w:rsid w:val="2D5BA14F"/>
    <w:rsid w:val="2E32D01E"/>
    <w:rsid w:val="2FB41563"/>
    <w:rsid w:val="35CE2CFC"/>
    <w:rsid w:val="36C30BF2"/>
    <w:rsid w:val="3DBDDBC1"/>
    <w:rsid w:val="400189C7"/>
    <w:rsid w:val="434932BD"/>
    <w:rsid w:val="4A030B52"/>
    <w:rsid w:val="4CEEAD21"/>
    <w:rsid w:val="4D32851A"/>
    <w:rsid w:val="5616A610"/>
    <w:rsid w:val="570058BF"/>
    <w:rsid w:val="57878F16"/>
    <w:rsid w:val="59553682"/>
    <w:rsid w:val="5AAB4864"/>
    <w:rsid w:val="5C7FCB19"/>
    <w:rsid w:val="5F7ED661"/>
    <w:rsid w:val="684838C3"/>
    <w:rsid w:val="6E907181"/>
    <w:rsid w:val="72E9BE4B"/>
    <w:rsid w:val="74980673"/>
    <w:rsid w:val="79292179"/>
    <w:rsid w:val="7AAF2A2D"/>
    <w:rsid w:val="7D1C4E14"/>
    <w:rsid w:val="7DF78C93"/>
    <w:rsid w:val="7DFF4615"/>
    <w:rsid w:val="7E623651"/>
    <w:rsid w:val="7E6D0D6A"/>
    <w:rsid w:val="A6E5B0D2"/>
    <w:rsid w:val="ADFFF7AA"/>
    <w:rsid w:val="C8F8588F"/>
    <w:rsid w:val="DFAE381B"/>
    <w:rsid w:val="F5FFCAC7"/>
    <w:rsid w:val="FBFFC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40" w:lineRule="auto"/>
    </w:pPr>
    <w:rPr>
      <w:rFonts w:ascii="微软雅黑" w:hAnsi="微软雅黑" w:eastAsia="微软雅黑" w:cs="Times New Roman (Body CS)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34"/>
    <w:autoRedefine/>
    <w:qFormat/>
    <w:uiPriority w:val="9"/>
    <w:pPr>
      <w:keepNext/>
      <w:keepLines/>
      <w:numPr>
        <w:ilvl w:val="0"/>
        <w:numId w:val="1"/>
      </w:numPr>
      <w:spacing w:before="360" w:after="80"/>
      <w:outlineLvl w:val="0"/>
    </w:pPr>
    <w:rPr>
      <w:rFonts w:cs="Times New Roman (Headings CS)"/>
      <w:color w:val="000000" w:themeColor="text1"/>
      <w:sz w:val="44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5"/>
    <w:autoRedefine/>
    <w:unhideWhenUsed/>
    <w:qFormat/>
    <w:uiPriority w:val="9"/>
    <w:pPr>
      <w:keepNext/>
      <w:keepLines/>
      <w:numPr>
        <w:ilvl w:val="1"/>
        <w:numId w:val="1"/>
      </w:numPr>
      <w:spacing w:before="160" w:after="80"/>
      <w:outlineLvl w:val="1"/>
    </w:pPr>
    <w:rPr>
      <w:rFonts w:cs="Times New Roman (Headings CS)"/>
      <w:color w:val="000000" w:themeColor="text1"/>
      <w:sz w:val="36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6"/>
    <w:autoRedefine/>
    <w:unhideWhenUsed/>
    <w:qFormat/>
    <w:uiPriority w:val="9"/>
    <w:pPr>
      <w:keepNext/>
      <w:keepLines/>
      <w:numPr>
        <w:ilvl w:val="2"/>
        <w:numId w:val="1"/>
      </w:numPr>
      <w:spacing w:before="160" w:after="80"/>
      <w:outlineLvl w:val="2"/>
    </w:pPr>
    <w:rPr>
      <w:rFonts w:cs="Times New Roman (Headings CS)"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7"/>
    <w:autoRedefine/>
    <w:unhideWhenUsed/>
    <w:qFormat/>
    <w:uiPriority w:val="9"/>
    <w:pPr>
      <w:keepNext/>
      <w:keepLines/>
      <w:numPr>
        <w:ilvl w:val="3"/>
        <w:numId w:val="1"/>
      </w:numPr>
      <w:spacing w:before="80" w:after="40"/>
      <w:outlineLvl w:val="3"/>
    </w:pPr>
    <w:rPr>
      <w:rFonts w:cs="Times New Roman (Headings CS)"/>
      <w:i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38"/>
    <w:autoRedefine/>
    <w:semiHidden/>
    <w:unhideWhenUsed/>
    <w:qFormat/>
    <w:uiPriority w:val="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9"/>
    <w:autoRedefine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40"/>
    <w:autoRedefine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1"/>
    <w:autoRedefine/>
    <w:semiHidden/>
    <w:unhideWhenUsed/>
    <w:qFormat/>
    <w:uiPriority w:val="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2"/>
    <w:autoRedefine/>
    <w:semiHidden/>
    <w:unhideWhenUsed/>
    <w:qFormat/>
    <w:uiPriority w:val="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9">
    <w:name w:val="Default Paragraph Font"/>
    <w:autoRedefine/>
    <w:semiHidden/>
    <w:unhideWhenUsed/>
    <w:qFormat/>
    <w:uiPriority w:val="1"/>
  </w:style>
  <w:style w:type="table" w:default="1" w:styleId="2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nhideWhenUsed/>
    <w:qFormat/>
    <w:uiPriority w:val="39"/>
    <w:pPr>
      <w:spacing w:after="0"/>
      <w:ind w:left="1440"/>
    </w:pPr>
    <w:rPr>
      <w:sz w:val="20"/>
      <w:szCs w:val="20"/>
    </w:rPr>
  </w:style>
  <w:style w:type="paragraph" w:styleId="12">
    <w:name w:val="caption"/>
    <w:basedOn w:val="1"/>
    <w:next w:val="1"/>
    <w:autoRedefine/>
    <w:unhideWhenUsed/>
    <w:qFormat/>
    <w:uiPriority w:val="35"/>
    <w:pPr>
      <w:spacing w:after="200"/>
    </w:pPr>
    <w:rPr>
      <w:iCs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paragraph" w:styleId="13">
    <w:name w:val="toc 5"/>
    <w:basedOn w:val="1"/>
    <w:next w:val="1"/>
    <w:autoRedefine/>
    <w:semiHidden/>
    <w:unhideWhenUsed/>
    <w:qFormat/>
    <w:uiPriority w:val="39"/>
    <w:pPr>
      <w:spacing w:after="0"/>
      <w:ind w:left="960"/>
    </w:pPr>
    <w:rPr>
      <w:sz w:val="20"/>
      <w:szCs w:val="20"/>
    </w:rPr>
  </w:style>
  <w:style w:type="paragraph" w:styleId="14">
    <w:name w:val="toc 3"/>
    <w:basedOn w:val="1"/>
    <w:next w:val="1"/>
    <w:autoRedefine/>
    <w:unhideWhenUsed/>
    <w:qFormat/>
    <w:uiPriority w:val="39"/>
    <w:pPr>
      <w:spacing w:after="0"/>
      <w:ind w:left="480"/>
    </w:pPr>
    <w:rPr>
      <w:sz w:val="20"/>
      <w:szCs w:val="20"/>
    </w:rPr>
  </w:style>
  <w:style w:type="paragraph" w:styleId="15">
    <w:name w:val="toc 8"/>
    <w:basedOn w:val="1"/>
    <w:next w:val="1"/>
    <w:autoRedefine/>
    <w:semiHidden/>
    <w:unhideWhenUsed/>
    <w:qFormat/>
    <w:uiPriority w:val="39"/>
    <w:pPr>
      <w:spacing w:after="0"/>
      <w:ind w:left="1680"/>
    </w:pPr>
    <w:rPr>
      <w:sz w:val="20"/>
      <w:szCs w:val="20"/>
    </w:rPr>
  </w:style>
  <w:style w:type="paragraph" w:styleId="16">
    <w:name w:val="footer"/>
    <w:basedOn w:val="1"/>
    <w:link w:val="55"/>
    <w:autoRedefine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paragraph" w:styleId="17">
    <w:name w:val="header"/>
    <w:basedOn w:val="1"/>
    <w:link w:val="54"/>
    <w:autoRedefine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paragraph" w:styleId="18">
    <w:name w:val="toc 1"/>
    <w:basedOn w:val="1"/>
    <w:next w:val="1"/>
    <w:autoRedefine/>
    <w:unhideWhenUsed/>
    <w:qFormat/>
    <w:uiPriority w:val="39"/>
    <w:pPr>
      <w:spacing w:before="120" w:after="0"/>
    </w:pPr>
    <w:rPr>
      <w:bCs/>
      <w:iCs/>
      <w:sz w:val="28"/>
    </w:rPr>
  </w:style>
  <w:style w:type="paragraph" w:styleId="19">
    <w:name w:val="toc 4"/>
    <w:basedOn w:val="1"/>
    <w:next w:val="1"/>
    <w:autoRedefine/>
    <w:unhideWhenUsed/>
    <w:qFormat/>
    <w:uiPriority w:val="39"/>
    <w:pPr>
      <w:spacing w:after="0"/>
      <w:ind w:left="720"/>
    </w:pPr>
    <w:rPr>
      <w:sz w:val="20"/>
      <w:szCs w:val="20"/>
    </w:rPr>
  </w:style>
  <w:style w:type="paragraph" w:styleId="20">
    <w:name w:val="Subtitle"/>
    <w:basedOn w:val="1"/>
    <w:next w:val="1"/>
    <w:link w:val="44"/>
    <w:autoRedefine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oc 6"/>
    <w:basedOn w:val="1"/>
    <w:next w:val="1"/>
    <w:autoRedefine/>
    <w:semiHidden/>
    <w:unhideWhenUsed/>
    <w:qFormat/>
    <w:uiPriority w:val="39"/>
    <w:pPr>
      <w:spacing w:after="0"/>
      <w:ind w:left="1200"/>
    </w:pPr>
    <w:rPr>
      <w:sz w:val="20"/>
      <w:szCs w:val="20"/>
    </w:rPr>
  </w:style>
  <w:style w:type="paragraph" w:styleId="22">
    <w:name w:val="table of figures"/>
    <w:basedOn w:val="1"/>
    <w:next w:val="1"/>
    <w:autoRedefine/>
    <w:unhideWhenUsed/>
    <w:qFormat/>
    <w:uiPriority w:val="99"/>
    <w:pPr>
      <w:spacing w:after="0"/>
    </w:pPr>
  </w:style>
  <w:style w:type="paragraph" w:styleId="23">
    <w:name w:val="toc 2"/>
    <w:basedOn w:val="1"/>
    <w:next w:val="1"/>
    <w:autoRedefine/>
    <w:unhideWhenUsed/>
    <w:qFormat/>
    <w:uiPriority w:val="39"/>
    <w:pPr>
      <w:spacing w:before="120" w:after="0"/>
      <w:ind w:left="240"/>
    </w:pPr>
    <w:rPr>
      <w:bCs/>
      <w:szCs w:val="22"/>
    </w:rPr>
  </w:style>
  <w:style w:type="paragraph" w:styleId="24">
    <w:name w:val="toc 9"/>
    <w:basedOn w:val="1"/>
    <w:next w:val="1"/>
    <w:autoRedefine/>
    <w:semiHidden/>
    <w:unhideWhenUsed/>
    <w:qFormat/>
    <w:uiPriority w:val="39"/>
    <w:pPr>
      <w:spacing w:after="0"/>
      <w:ind w:left="1920"/>
    </w:pPr>
    <w:rPr>
      <w:sz w:val="20"/>
      <w:szCs w:val="20"/>
    </w:rPr>
  </w:style>
  <w:style w:type="paragraph" w:styleId="25">
    <w:name w:val="Normal (Web)"/>
    <w:basedOn w:val="1"/>
    <w:autoRedefine/>
    <w:semiHidden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kern w:val="0"/>
      <w14:ligatures w14:val="none"/>
    </w:rPr>
  </w:style>
  <w:style w:type="paragraph" w:styleId="26">
    <w:name w:val="Title"/>
    <w:basedOn w:val="1"/>
    <w:next w:val="1"/>
    <w:link w:val="43"/>
    <w:autoRedefine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8">
    <w:name w:val="Table Grid"/>
    <w:basedOn w:val="27"/>
    <w:autoRedefine/>
    <w:qFormat/>
    <w:uiPriority w:val="39"/>
    <w:pPr>
      <w:spacing w:after="0" w:line="240" w:lineRule="auto"/>
    </w:pPr>
    <w:rPr>
      <w:rFonts w:ascii="Calibri" w:hAnsi="Calibri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basedOn w:val="29"/>
    <w:autoRedefine/>
    <w:qFormat/>
    <w:uiPriority w:val="22"/>
    <w:rPr>
      <w:b/>
    </w:rPr>
  </w:style>
  <w:style w:type="character" w:styleId="31">
    <w:name w:val="page number"/>
    <w:basedOn w:val="29"/>
    <w:autoRedefine/>
    <w:semiHidden/>
    <w:unhideWhenUsed/>
    <w:qFormat/>
    <w:uiPriority w:val="99"/>
  </w:style>
  <w:style w:type="character" w:styleId="32">
    <w:name w:val="FollowedHyperlink"/>
    <w:basedOn w:val="29"/>
    <w:autoRedefine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33">
    <w:name w:val="Hyperlink"/>
    <w:basedOn w:val="29"/>
    <w:autoRedefine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34">
    <w:name w:val="标题 1 字符"/>
    <w:basedOn w:val="29"/>
    <w:link w:val="2"/>
    <w:autoRedefine/>
    <w:qFormat/>
    <w:uiPriority w:val="9"/>
    <w:rPr>
      <w:rFonts w:ascii="微软雅黑" w:hAnsi="微软雅黑" w:eastAsia="微软雅黑" w:cs="Times New Roman (Headings CS)"/>
      <w:color w:val="000000" w:themeColor="text1"/>
      <w:sz w:val="44"/>
      <w:szCs w:val="40"/>
      <w14:textFill>
        <w14:solidFill>
          <w14:schemeClr w14:val="tx1"/>
        </w14:solidFill>
      </w14:textFill>
    </w:rPr>
  </w:style>
  <w:style w:type="character" w:customStyle="1" w:styleId="35">
    <w:name w:val="标题 2 字符"/>
    <w:basedOn w:val="29"/>
    <w:link w:val="3"/>
    <w:autoRedefine/>
    <w:qFormat/>
    <w:uiPriority w:val="9"/>
    <w:rPr>
      <w:rFonts w:ascii="微软雅黑" w:hAnsi="微软雅黑" w:eastAsia="微软雅黑" w:cs="Times New Roman (Headings CS)"/>
      <w:color w:val="000000" w:themeColor="text1"/>
      <w:sz w:val="36"/>
      <w:szCs w:val="32"/>
      <w14:textFill>
        <w14:solidFill>
          <w14:schemeClr w14:val="tx1"/>
        </w14:solidFill>
      </w14:textFill>
    </w:rPr>
  </w:style>
  <w:style w:type="character" w:customStyle="1" w:styleId="36">
    <w:name w:val="标题 3 字符"/>
    <w:basedOn w:val="29"/>
    <w:link w:val="4"/>
    <w:autoRedefine/>
    <w:qFormat/>
    <w:uiPriority w:val="9"/>
    <w:rPr>
      <w:rFonts w:ascii="微软雅黑" w:hAnsi="微软雅黑" w:eastAsia="微软雅黑" w:cs="Times New Roman (Headings CS)"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37">
    <w:name w:val="标题 4 字符"/>
    <w:basedOn w:val="29"/>
    <w:link w:val="5"/>
    <w:autoRedefine/>
    <w:qFormat/>
    <w:uiPriority w:val="9"/>
    <w:rPr>
      <w:rFonts w:ascii="微软雅黑" w:hAnsi="微软雅黑" w:eastAsia="微软雅黑" w:cs="Times New Roman (Headings CS)"/>
      <w:i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38">
    <w:name w:val="标题 5 字符"/>
    <w:basedOn w:val="29"/>
    <w:link w:val="6"/>
    <w:autoRedefine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9">
    <w:name w:val="标题 6 字符"/>
    <w:basedOn w:val="29"/>
    <w:link w:val="7"/>
    <w:autoRedefine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标题 7 字符"/>
    <w:basedOn w:val="29"/>
    <w:link w:val="8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8 字符"/>
    <w:basedOn w:val="29"/>
    <w:link w:val="9"/>
    <w:autoRedefine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2">
    <w:name w:val="标题 9 字符"/>
    <w:basedOn w:val="29"/>
    <w:link w:val="10"/>
    <w:autoRedefine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标题 字符"/>
    <w:basedOn w:val="29"/>
    <w:link w:val="26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4">
    <w:name w:val="副标题 字符"/>
    <w:basedOn w:val="29"/>
    <w:link w:val="20"/>
    <w:autoRedefine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5">
    <w:name w:val="Quote"/>
    <w:basedOn w:val="1"/>
    <w:next w:val="1"/>
    <w:link w:val="46"/>
    <w:autoRedefine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6">
    <w:name w:val="引用 字符"/>
    <w:basedOn w:val="29"/>
    <w:link w:val="45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7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48">
    <w:name w:val="明显强调1"/>
    <w:basedOn w:val="29"/>
    <w:autoRedefine/>
    <w:qFormat/>
    <w:uiPriority w:val="21"/>
    <w:rPr>
      <w:i/>
      <w:iCs/>
      <w:color w:val="104862" w:themeColor="accent1" w:themeShade="BF"/>
    </w:rPr>
  </w:style>
  <w:style w:type="paragraph" w:styleId="49">
    <w:name w:val="Intense Quote"/>
    <w:basedOn w:val="1"/>
    <w:next w:val="1"/>
    <w:link w:val="50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0">
    <w:name w:val="明显引用 字符"/>
    <w:basedOn w:val="29"/>
    <w:link w:val="49"/>
    <w:autoRedefine/>
    <w:qFormat/>
    <w:uiPriority w:val="30"/>
    <w:rPr>
      <w:i/>
      <w:iCs/>
      <w:color w:val="104862" w:themeColor="accent1" w:themeShade="BF"/>
    </w:rPr>
  </w:style>
  <w:style w:type="character" w:customStyle="1" w:styleId="51">
    <w:name w:val="明显参考1"/>
    <w:basedOn w:val="29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52">
    <w:name w:val="item-title"/>
    <w:basedOn w:val="29"/>
    <w:autoRedefine/>
    <w:qFormat/>
    <w:uiPriority w:val="0"/>
  </w:style>
  <w:style w:type="paragraph" w:customStyle="1" w:styleId="53">
    <w:name w:val="TOC 标题1"/>
    <w:basedOn w:val="2"/>
    <w:next w:val="1"/>
    <w:autoRedefine/>
    <w:unhideWhenUsed/>
    <w:qFormat/>
    <w:uiPriority w:val="39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n-US"/>
      <w14:ligatures w14:val="none"/>
    </w:rPr>
  </w:style>
  <w:style w:type="character" w:customStyle="1" w:styleId="54">
    <w:name w:val="页眉 字符"/>
    <w:basedOn w:val="29"/>
    <w:link w:val="17"/>
    <w:autoRedefine/>
    <w:qFormat/>
    <w:uiPriority w:val="99"/>
  </w:style>
  <w:style w:type="character" w:customStyle="1" w:styleId="55">
    <w:name w:val="页脚 字符"/>
    <w:basedOn w:val="29"/>
    <w:link w:val="16"/>
    <w:autoRedefine/>
    <w:qFormat/>
    <w:uiPriority w:val="99"/>
  </w:style>
  <w:style w:type="paragraph" w:customStyle="1" w:styleId="56">
    <w:name w:val="&lt; Break &gt;"/>
    <w:basedOn w:val="57"/>
    <w:autoRedefine/>
    <w:qFormat/>
    <w:uiPriority w:val="0"/>
    <w:pPr>
      <w:spacing w:before="40" w:after="40" w:line="240" w:lineRule="auto"/>
    </w:pPr>
  </w:style>
  <w:style w:type="paragraph" w:customStyle="1" w:styleId="57">
    <w:name w:val="&lt;  Paragraph&gt;"/>
    <w:basedOn w:val="1"/>
    <w:autoRedefine/>
    <w:qFormat/>
    <w:uiPriority w:val="0"/>
    <w:pPr>
      <w:spacing w:before="80" w:after="80" w:line="240" w:lineRule="atLeast"/>
    </w:pPr>
    <w:rPr>
      <w:rFonts w:ascii="Arial" w:hAnsi="Arial" w:eastAsia="宋体" w:cs="Times New Roman"/>
      <w:kern w:val="0"/>
      <w:sz w:val="20"/>
      <w:szCs w:val="20"/>
      <w:lang w:val="de-DE" w:eastAsia="en-US"/>
      <w14:ligatures w14:val="none"/>
    </w:rPr>
  </w:style>
  <w:style w:type="character" w:customStyle="1" w:styleId="58">
    <w:name w:val="Unresolved Mention"/>
    <w:basedOn w:val="29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9">
    <w:name w:val="Revision"/>
    <w:autoRedefine/>
    <w:hidden/>
    <w:unhideWhenUsed/>
    <w:qFormat/>
    <w:uiPriority w:val="99"/>
    <w:pPr>
      <w:spacing w:after="0" w:line="240" w:lineRule="auto"/>
    </w:pPr>
    <w:rPr>
      <w:rFonts w:ascii="微软雅黑" w:hAnsi="微软雅黑" w:eastAsia="微软雅黑" w:cs="Times New Roman (Body CS)"/>
      <w:kern w:val="2"/>
      <w:sz w:val="24"/>
      <w:szCs w:val="24"/>
      <w:lang w:val="en-US" w:eastAsia="zh-CN" w:bidi="ar-SA"/>
      <w14:ligatures w14:val="standardContextual"/>
    </w:rPr>
  </w:style>
  <w:style w:type="character" w:styleId="60">
    <w:name w:val="Placeholder Text"/>
    <w:basedOn w:val="29"/>
    <w:autoRedefine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C6950B-4CB1-4BC9-9B97-E3A0A265CC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2374</Words>
  <Characters>13535</Characters>
  <Lines>112</Lines>
  <Paragraphs>31</Paragraphs>
  <TotalTime>0</TotalTime>
  <ScaleCrop>false</ScaleCrop>
  <LinksUpToDate>false</LinksUpToDate>
  <CharactersWithSpaces>15878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2025-01-03T06:08:00Z</dcterms:created>
  <dc:creator>Xue Ying Y Zhang</dc:creator>
  <cp:lastModifiedBy>林芝</cp:lastModifiedBy>
  <dcterms:modified xsi:type="dcterms:W3CDTF">2026-05-20T07:17:11Z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A229391F698043C19D10AE4E2A8D533E_13</vt:lpwstr>
  </property>
</Properties>
</file>