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7C7" w:rsidRDefault="00E65BFA">
      <w:bookmarkStart w:id="0" w:name="_GoBack"/>
      <w:r>
        <w:t>GCA and SCA</w:t>
      </w:r>
    </w:p>
    <w:bookmarkEnd w:id="0"/>
    <w:p w:rsidR="00E65BFA" w:rsidRDefault="00E65BFA"/>
    <w:p w:rsidR="00E65BFA" w:rsidRDefault="00E65BFA" w:rsidP="00E65BFA">
      <w:pPr>
        <w:pStyle w:val="NormalWeb"/>
        <w:shd w:val="clear" w:color="auto" w:fill="FFFFFF"/>
        <w:spacing w:before="0" w:beforeAutospacing="0"/>
        <w:rPr>
          <w:rFonts w:ascii="Cambria" w:hAnsi="Cambria"/>
          <w:color w:val="212529"/>
          <w:sz w:val="24"/>
          <w:szCs w:val="24"/>
        </w:rPr>
      </w:pPr>
      <w:r>
        <w:rPr>
          <w:rFonts w:ascii="Cambria" w:hAnsi="Cambria"/>
          <w:color w:val="212529"/>
          <w:sz w:val="24"/>
          <w:szCs w:val="24"/>
        </w:rPr>
        <w:t> </w:t>
      </w:r>
      <w:proofErr w:type="gramStart"/>
      <w:r>
        <w:rPr>
          <w:rFonts w:ascii="Cambria" w:hAnsi="Cambria"/>
          <w:color w:val="212529"/>
          <w:sz w:val="24"/>
          <w:szCs w:val="24"/>
        </w:rPr>
        <w:t>low</w:t>
      </w:r>
      <w:proofErr w:type="gramEnd"/>
      <w:r>
        <w:rPr>
          <w:rFonts w:ascii="Cambria" w:hAnsi="Cambria"/>
          <w:color w:val="212529"/>
          <w:sz w:val="24"/>
          <w:szCs w:val="24"/>
        </w:rPr>
        <w:t xml:space="preserve"> GCA value, positive or negative, shows that the mean of a parent in crossing with the other does not vary largely from the general mean of the crosses. In contrast, a high GCA value shows that the parental mean is superior or inferior to the general mean. This indicates a potent evidence of desirable gene flow from parents to offspring at high intensity and represents information regarding the concentration of predominantly additive genes.</w:t>
      </w:r>
      <w:hyperlink r:id="rId5" w:anchor="ref56" w:history="1">
        <w:r>
          <w:rPr>
            <w:rStyle w:val="Hyperlink"/>
            <w:rFonts w:ascii="Cambria" w:hAnsi="Cambria"/>
            <w:color w:val="0072BC"/>
            <w:sz w:val="18"/>
            <w:szCs w:val="18"/>
            <w:u w:val="none"/>
            <w:vertAlign w:val="superscript"/>
          </w:rPr>
          <w:t>56</w:t>
        </w:r>
      </w:hyperlink>
      <w:r>
        <w:rPr>
          <w:rFonts w:ascii="Cambria" w:hAnsi="Cambria"/>
          <w:color w:val="212529"/>
          <w:sz w:val="24"/>
          <w:szCs w:val="24"/>
        </w:rPr>
        <w:t> A high GCA estimate indicates higher heritability and less environmental effects. It may also result in less gene interactions and higher achievement in selection.</w:t>
      </w:r>
      <w:hyperlink r:id="rId6" w:anchor="ref2" w:history="1">
        <w:r>
          <w:rPr>
            <w:rStyle w:val="Hyperlink"/>
            <w:rFonts w:ascii="Cambria" w:hAnsi="Cambria"/>
            <w:color w:val="0072BC"/>
            <w:sz w:val="18"/>
            <w:szCs w:val="18"/>
            <w:u w:val="none"/>
            <w:vertAlign w:val="superscript"/>
          </w:rPr>
          <w:t>2</w:t>
        </w:r>
      </w:hyperlink>
      <w:r>
        <w:rPr>
          <w:rFonts w:ascii="Cambria" w:hAnsi="Cambria"/>
          <w:color w:val="212529"/>
          <w:sz w:val="18"/>
          <w:szCs w:val="18"/>
          <w:vertAlign w:val="superscript"/>
        </w:rPr>
        <w:t>,</w:t>
      </w:r>
      <w:hyperlink r:id="rId7" w:anchor="ref30" w:history="1">
        <w:r>
          <w:rPr>
            <w:rStyle w:val="Hyperlink"/>
            <w:rFonts w:ascii="Cambria" w:hAnsi="Cambria"/>
            <w:color w:val="0072BC"/>
            <w:sz w:val="18"/>
            <w:szCs w:val="18"/>
            <w:u w:val="none"/>
            <w:vertAlign w:val="superscript"/>
          </w:rPr>
          <w:t>30</w:t>
        </w:r>
      </w:hyperlink>
      <w:r>
        <w:rPr>
          <w:rFonts w:ascii="Cambria" w:hAnsi="Cambria"/>
          <w:color w:val="212529"/>
          <w:sz w:val="24"/>
          <w:szCs w:val="24"/>
        </w:rPr>
        <w:t> One of the main features of the elite parent with high GCA effect is its large adaptability. A parent good in </w:t>
      </w:r>
      <w:r>
        <w:rPr>
          <w:rStyle w:val="Emphasis"/>
          <w:rFonts w:ascii="Cambria" w:hAnsi="Cambria"/>
          <w:color w:val="212529"/>
          <w:sz w:val="24"/>
          <w:szCs w:val="24"/>
        </w:rPr>
        <w:t>per se</w:t>
      </w:r>
      <w:r>
        <w:rPr>
          <w:rFonts w:ascii="Cambria" w:hAnsi="Cambria"/>
          <w:color w:val="212529"/>
          <w:sz w:val="24"/>
          <w:szCs w:val="24"/>
        </w:rPr>
        <w:t> performance may not necessarily produce better hybrids when used in hybridization.</w:t>
      </w:r>
      <w:hyperlink r:id="rId8" w:anchor="ref3" w:history="1">
        <w:r>
          <w:rPr>
            <w:rStyle w:val="Hyperlink"/>
            <w:rFonts w:ascii="Cambria" w:hAnsi="Cambria"/>
            <w:color w:val="0072BC"/>
            <w:sz w:val="18"/>
            <w:szCs w:val="18"/>
            <w:u w:val="none"/>
            <w:vertAlign w:val="superscript"/>
          </w:rPr>
          <w:t>3</w:t>
        </w:r>
      </w:hyperlink>
      <w:r>
        <w:rPr>
          <w:rFonts w:ascii="Cambria" w:hAnsi="Cambria"/>
          <w:color w:val="212529"/>
          <w:sz w:val="18"/>
          <w:szCs w:val="18"/>
          <w:vertAlign w:val="superscript"/>
        </w:rPr>
        <w:t>,</w:t>
      </w:r>
      <w:hyperlink r:id="rId9" w:anchor="ref38" w:history="1">
        <w:r>
          <w:rPr>
            <w:rStyle w:val="Hyperlink"/>
            <w:rFonts w:ascii="Cambria" w:hAnsi="Cambria"/>
            <w:color w:val="0072BC"/>
            <w:sz w:val="18"/>
            <w:szCs w:val="18"/>
            <w:u w:val="none"/>
            <w:vertAlign w:val="superscript"/>
          </w:rPr>
          <w:t>38</w:t>
        </w:r>
      </w:hyperlink>
      <w:r>
        <w:rPr>
          <w:rFonts w:ascii="Cambria" w:hAnsi="Cambria"/>
          <w:color w:val="212529"/>
          <w:sz w:val="18"/>
          <w:szCs w:val="18"/>
          <w:vertAlign w:val="superscript"/>
        </w:rPr>
        <w:t>,</w:t>
      </w:r>
      <w:hyperlink r:id="rId10" w:anchor="ref57" w:history="1">
        <w:r>
          <w:rPr>
            <w:rStyle w:val="Hyperlink"/>
            <w:rFonts w:ascii="Cambria" w:hAnsi="Cambria"/>
            <w:color w:val="0072BC"/>
            <w:sz w:val="18"/>
            <w:szCs w:val="18"/>
            <w:u w:val="none"/>
            <w:vertAlign w:val="superscript"/>
          </w:rPr>
          <w:t>57</w:t>
        </w:r>
      </w:hyperlink>
      <w:r>
        <w:rPr>
          <w:rFonts w:ascii="Cambria" w:hAnsi="Cambria"/>
          <w:color w:val="212529"/>
          <w:sz w:val="24"/>
          <w:szCs w:val="24"/>
        </w:rPr>
        <w:t> Concurrently, it also indicated that one parent of the worst combination could make the best combination if the other parent was selected properly.</w:t>
      </w:r>
      <w:hyperlink r:id="rId11" w:anchor="ref9" w:history="1">
        <w:r>
          <w:rPr>
            <w:rStyle w:val="Hyperlink"/>
            <w:rFonts w:ascii="Cambria" w:hAnsi="Cambria"/>
            <w:color w:val="0072BC"/>
            <w:sz w:val="18"/>
            <w:szCs w:val="18"/>
            <w:u w:val="none"/>
            <w:vertAlign w:val="superscript"/>
          </w:rPr>
          <w:t>9</w:t>
        </w:r>
      </w:hyperlink>
    </w:p>
    <w:p w:rsidR="00E65BFA" w:rsidRDefault="00E65BFA" w:rsidP="00E65BFA">
      <w:pPr>
        <w:pStyle w:val="NormalWeb"/>
        <w:shd w:val="clear" w:color="auto" w:fill="FFFFFF"/>
        <w:spacing w:before="0" w:beforeAutospacing="0"/>
        <w:rPr>
          <w:rFonts w:ascii="Cambria" w:hAnsi="Cambria"/>
          <w:color w:val="212529"/>
          <w:sz w:val="24"/>
          <w:szCs w:val="24"/>
        </w:rPr>
      </w:pPr>
      <w:r>
        <w:rPr>
          <w:rFonts w:ascii="Cambria" w:hAnsi="Cambria"/>
          <w:color w:val="212529"/>
          <w:sz w:val="24"/>
          <w:szCs w:val="24"/>
        </w:rPr>
        <w:t xml:space="preserve">In GCA determination, SCA usually acts as a masking effect. </w:t>
      </w:r>
      <w:proofErr w:type="gramStart"/>
      <w:r>
        <w:rPr>
          <w:rFonts w:ascii="Cambria" w:hAnsi="Cambria"/>
          <w:color w:val="212529"/>
          <w:sz w:val="24"/>
          <w:szCs w:val="24"/>
        </w:rPr>
        <w:t>By using genetically broad testers or increasing number of testers, SCA impact can be decreased</w:t>
      </w:r>
      <w:proofErr w:type="gramEnd"/>
      <w:r>
        <w:rPr>
          <w:rFonts w:ascii="Cambria" w:hAnsi="Cambria"/>
          <w:color w:val="212529"/>
          <w:sz w:val="24"/>
          <w:szCs w:val="24"/>
        </w:rPr>
        <w:t>.</w:t>
      </w:r>
      <w:hyperlink r:id="rId12" w:anchor="ref58" w:history="1">
        <w:r>
          <w:rPr>
            <w:rStyle w:val="Hyperlink"/>
            <w:rFonts w:ascii="Cambria" w:hAnsi="Cambria"/>
            <w:color w:val="0072BC"/>
            <w:sz w:val="18"/>
            <w:szCs w:val="18"/>
            <w:u w:val="none"/>
            <w:vertAlign w:val="superscript"/>
          </w:rPr>
          <w:t>58</w:t>
        </w:r>
      </w:hyperlink>
      <w:r>
        <w:rPr>
          <w:rFonts w:ascii="Cambria" w:hAnsi="Cambria"/>
          <w:color w:val="212529"/>
          <w:sz w:val="24"/>
          <w:szCs w:val="24"/>
        </w:rPr>
        <w:t> Parental choice only on the basis of SCA effect has limited value in breeding programs. Therefore, SCA effect should be used in combination with a high performance </w:t>
      </w:r>
      <w:r>
        <w:rPr>
          <w:rStyle w:val="Emphasis"/>
          <w:rFonts w:ascii="Cambria" w:hAnsi="Cambria"/>
          <w:color w:val="212529"/>
          <w:sz w:val="24"/>
          <w:szCs w:val="24"/>
        </w:rPr>
        <w:t>per se</w:t>
      </w:r>
      <w:r>
        <w:rPr>
          <w:rFonts w:ascii="Cambria" w:hAnsi="Cambria"/>
          <w:color w:val="212529"/>
          <w:sz w:val="24"/>
          <w:szCs w:val="24"/>
        </w:rPr>
        <w:t xml:space="preserve"> hybrid, </w:t>
      </w:r>
      <w:proofErr w:type="spellStart"/>
      <w:r>
        <w:rPr>
          <w:rFonts w:ascii="Cambria" w:hAnsi="Cambria"/>
          <w:color w:val="212529"/>
          <w:sz w:val="24"/>
          <w:szCs w:val="24"/>
        </w:rPr>
        <w:t>favourable</w:t>
      </w:r>
      <w:proofErr w:type="spellEnd"/>
      <w:r>
        <w:rPr>
          <w:rFonts w:ascii="Cambria" w:hAnsi="Cambria"/>
          <w:color w:val="212529"/>
          <w:sz w:val="24"/>
          <w:szCs w:val="24"/>
        </w:rPr>
        <w:t xml:space="preserve"> SCA estimates, and involving at least one parent with high GCA</w:t>
      </w:r>
      <w:hyperlink r:id="rId13" w:anchor="ref13" w:history="1">
        <w:r>
          <w:rPr>
            <w:rStyle w:val="Hyperlink"/>
            <w:rFonts w:ascii="Cambria" w:hAnsi="Cambria"/>
            <w:color w:val="0072BC"/>
            <w:sz w:val="18"/>
            <w:szCs w:val="18"/>
            <w:u w:val="none"/>
            <w:vertAlign w:val="superscript"/>
          </w:rPr>
          <w:t>13</w:t>
        </w:r>
      </w:hyperlink>
      <w:r>
        <w:rPr>
          <w:rFonts w:ascii="Cambria" w:hAnsi="Cambria"/>
          <w:color w:val="212529"/>
          <w:sz w:val="18"/>
          <w:szCs w:val="18"/>
          <w:vertAlign w:val="superscript"/>
        </w:rPr>
        <w:t>,</w:t>
      </w:r>
      <w:hyperlink r:id="rId14" w:anchor="ref41" w:history="1">
        <w:r>
          <w:rPr>
            <w:rStyle w:val="Hyperlink"/>
            <w:rFonts w:ascii="Cambria" w:hAnsi="Cambria"/>
            <w:color w:val="0072BC"/>
            <w:sz w:val="18"/>
            <w:szCs w:val="18"/>
            <w:u w:val="none"/>
            <w:vertAlign w:val="superscript"/>
          </w:rPr>
          <w:t>41</w:t>
        </w:r>
      </w:hyperlink>
      <w:r>
        <w:rPr>
          <w:rFonts w:ascii="Cambria" w:hAnsi="Cambria"/>
          <w:color w:val="212529"/>
          <w:sz w:val="18"/>
          <w:szCs w:val="18"/>
          <w:vertAlign w:val="superscript"/>
        </w:rPr>
        <w:t>,</w:t>
      </w:r>
      <w:hyperlink r:id="rId15" w:anchor="ref44" w:history="1">
        <w:r>
          <w:rPr>
            <w:rStyle w:val="Hyperlink"/>
            <w:rFonts w:ascii="Cambria" w:hAnsi="Cambria"/>
            <w:color w:val="0072BC"/>
            <w:sz w:val="18"/>
            <w:szCs w:val="18"/>
            <w:u w:val="none"/>
            <w:vertAlign w:val="superscript"/>
          </w:rPr>
          <w:t>44</w:t>
        </w:r>
      </w:hyperlink>
      <w:r>
        <w:rPr>
          <w:rFonts w:ascii="Cambria" w:hAnsi="Cambria"/>
          <w:color w:val="212529"/>
          <w:sz w:val="18"/>
          <w:szCs w:val="18"/>
          <w:vertAlign w:val="superscript"/>
        </w:rPr>
        <w:t>,</w:t>
      </w:r>
      <w:hyperlink r:id="rId16" w:anchor="ref56" w:history="1">
        <w:r>
          <w:rPr>
            <w:rStyle w:val="Hyperlink"/>
            <w:rFonts w:ascii="Cambria" w:hAnsi="Cambria"/>
            <w:color w:val="0072BC"/>
            <w:sz w:val="18"/>
            <w:szCs w:val="18"/>
            <w:u w:val="none"/>
            <w:vertAlign w:val="superscript"/>
          </w:rPr>
          <w:t>56</w:t>
        </w:r>
      </w:hyperlink>
    </w:p>
    <w:p w:rsidR="00E65BFA" w:rsidRDefault="00E65BFA"/>
    <w:p w:rsidR="00E65BFA" w:rsidRDefault="00E65BFA"/>
    <w:sectPr w:rsidR="00E65BFA" w:rsidSect="00DA77C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BFA"/>
    <w:rsid w:val="00DA77C7"/>
    <w:rsid w:val="00E65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3B61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5BFA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65BF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65BFA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5BFA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65BF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65BF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5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medcraveonline.com/BBIJ/principles-and-utilization-of-combining-ability-in-plant-breeding.html" TargetMode="External"/><Relationship Id="rId12" Type="http://schemas.openxmlformats.org/officeDocument/2006/relationships/hyperlink" Target="https://medcraveonline.com/BBIJ/principles-and-utilization-of-combining-ability-in-plant-breeding.html" TargetMode="External"/><Relationship Id="rId13" Type="http://schemas.openxmlformats.org/officeDocument/2006/relationships/hyperlink" Target="https://medcraveonline.com/BBIJ/principles-and-utilization-of-combining-ability-in-plant-breeding.html" TargetMode="External"/><Relationship Id="rId14" Type="http://schemas.openxmlformats.org/officeDocument/2006/relationships/hyperlink" Target="https://medcraveonline.com/BBIJ/principles-and-utilization-of-combining-ability-in-plant-breeding.html" TargetMode="External"/><Relationship Id="rId15" Type="http://schemas.openxmlformats.org/officeDocument/2006/relationships/hyperlink" Target="https://medcraveonline.com/BBIJ/principles-and-utilization-of-combining-ability-in-plant-breeding.html" TargetMode="External"/><Relationship Id="rId16" Type="http://schemas.openxmlformats.org/officeDocument/2006/relationships/hyperlink" Target="https://medcraveonline.com/BBIJ/principles-and-utilization-of-combining-ability-in-plant-breeding.html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medcraveonline.com/BBIJ/principles-and-utilization-of-combining-ability-in-plant-breeding.html" TargetMode="External"/><Relationship Id="rId6" Type="http://schemas.openxmlformats.org/officeDocument/2006/relationships/hyperlink" Target="https://medcraveonline.com/BBIJ/principles-and-utilization-of-combining-ability-in-plant-breeding.html" TargetMode="External"/><Relationship Id="rId7" Type="http://schemas.openxmlformats.org/officeDocument/2006/relationships/hyperlink" Target="https://medcraveonline.com/BBIJ/principles-and-utilization-of-combining-ability-in-plant-breeding.html" TargetMode="External"/><Relationship Id="rId8" Type="http://schemas.openxmlformats.org/officeDocument/2006/relationships/hyperlink" Target="https://medcraveonline.com/BBIJ/principles-and-utilization-of-combining-ability-in-plant-breeding.html" TargetMode="External"/><Relationship Id="rId9" Type="http://schemas.openxmlformats.org/officeDocument/2006/relationships/hyperlink" Target="https://medcraveonline.com/BBIJ/principles-and-utilization-of-combining-ability-in-plant-breeding.html" TargetMode="External"/><Relationship Id="rId10" Type="http://schemas.openxmlformats.org/officeDocument/2006/relationships/hyperlink" Target="https://medcraveonline.com/BBIJ/principles-and-utilization-of-combining-ability-in-plant-breed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445</Words>
  <Characters>2537</Characters>
  <Application>Microsoft Macintosh Word</Application>
  <DocSecurity>0</DocSecurity>
  <Lines>21</Lines>
  <Paragraphs>5</Paragraphs>
  <ScaleCrop>false</ScaleCrop>
  <Company>osu</Company>
  <LinksUpToDate>false</LinksUpToDate>
  <CharactersWithSpaces>2977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 Huang</dc:creator>
  <cp:keywords/>
  <dc:description/>
  <cp:lastModifiedBy>Mao Huang</cp:lastModifiedBy>
  <cp:revision>1</cp:revision>
  <dcterms:created xsi:type="dcterms:W3CDTF">2020-11-12T16:46:00Z</dcterms:created>
  <dcterms:modified xsi:type="dcterms:W3CDTF">2020-11-12T16:47:00Z</dcterms:modified>
</cp:coreProperties>
</file>