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1EE54">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642F7039">
      <w:pPr>
        <w:keepNext w:val="0"/>
        <w:keepLines w:val="0"/>
        <w:pageBreakBefore w:val="0"/>
        <w:widowControl w:val="0"/>
        <w:kinsoku/>
        <w:wordWrap/>
        <w:overflowPunct/>
        <w:topLinePunct w:val="0"/>
        <w:autoSpaceDE/>
        <w:autoSpaceDN/>
        <w:bidi w:val="0"/>
        <w:adjustRightInd/>
        <w:snapToGrid/>
        <w:ind w:left="480" w:leftChars="200"/>
        <w:jc w:val="both"/>
        <w:textAlignment w:val="auto"/>
        <w:rPr>
          <w:rFonts w:hint="eastAsia" w:ascii="黑体" w:hAnsi="黑体" w:eastAsia="黑体" w:cs="黑体"/>
          <w:sz w:val="44"/>
          <w:szCs w:val="44"/>
          <w:lang w:val="en-US" w:eastAsia="zh-CN"/>
        </w:rPr>
      </w:pPr>
      <w:bookmarkStart w:id="0" w:name="_Toc10703"/>
      <w:r>
        <w:rPr>
          <w:rFonts w:hint="eastAsia" w:ascii="黑体" w:hAnsi="黑体" w:eastAsia="黑体" w:cs="黑体"/>
          <w:sz w:val="44"/>
          <w:szCs w:val="44"/>
          <w:lang w:val="en-US" w:eastAsia="zh-CN"/>
        </w:rPr>
        <w:t>“观澜智析”大学生行为分析与干预系统</w:t>
      </w:r>
      <w:bookmarkEnd w:id="0"/>
    </w:p>
    <w:p w14:paraId="17811A39">
      <w:pPr>
        <w:keepNext w:val="0"/>
        <w:keepLines w:val="0"/>
        <w:pageBreakBefore w:val="0"/>
        <w:widowControl w:val="0"/>
        <w:kinsoku/>
        <w:wordWrap/>
        <w:overflowPunct/>
        <w:topLinePunct w:val="0"/>
        <w:autoSpaceDE/>
        <w:autoSpaceDN/>
        <w:bidi w:val="0"/>
        <w:adjustRightInd/>
        <w:snapToGrid/>
        <w:ind w:left="480" w:leftChars="200"/>
        <w:jc w:val="both"/>
        <w:textAlignment w:val="auto"/>
        <w:rPr>
          <w:rFonts w:hint="eastAsia" w:ascii="黑体" w:hAnsi="黑体" w:eastAsia="黑体" w:cs="黑体"/>
          <w:sz w:val="44"/>
          <w:szCs w:val="44"/>
          <w:lang w:val="en-US" w:eastAsia="zh-CN"/>
        </w:rPr>
      </w:pPr>
    </w:p>
    <w:p w14:paraId="52BC7420">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r>
        <mc:AlternateContent>
          <mc:Choice Requires="wps">
            <w:drawing>
              <wp:anchor distT="0" distB="0" distL="114300" distR="114300" simplePos="0" relativeHeight="251659264" behindDoc="0" locked="0" layoutInCell="1" allowOverlap="1">
                <wp:simplePos x="0" y="0"/>
                <wp:positionH relativeFrom="column">
                  <wp:posOffset>2526665</wp:posOffset>
                </wp:positionH>
                <wp:positionV relativeFrom="paragraph">
                  <wp:posOffset>244475</wp:posOffset>
                </wp:positionV>
                <wp:extent cx="1828800" cy="4810760"/>
                <wp:effectExtent l="0" t="0" r="0" b="8890"/>
                <wp:wrapSquare wrapText="bothSides"/>
                <wp:docPr id="2" name="文本框 2"/>
                <wp:cNvGraphicFramePr/>
                <a:graphic xmlns:a="http://schemas.openxmlformats.org/drawingml/2006/main">
                  <a:graphicData uri="http://schemas.microsoft.com/office/word/2010/wordprocessingShape">
                    <wps:wsp>
                      <wps:cNvSpPr txBox="1"/>
                      <wps:spPr>
                        <a:xfrm>
                          <a:off x="0" y="0"/>
                          <a:ext cx="1828800" cy="48107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4C9F21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sz w:val="84"/>
                                <w:szCs w:val="84"/>
                              </w:rPr>
                            </w:pPr>
                            <w:r>
                              <w:rPr>
                                <w:rFonts w:hint="eastAsia" w:ascii="宋体" w:hAnsi="宋体" w:eastAsia="宋体" w:cs="宋体"/>
                                <w:b/>
                                <w:bCs/>
                                <w:i w:val="0"/>
                                <w:iCs w:val="0"/>
                                <w:caps w:val="0"/>
                                <w:color w:val="auto"/>
                                <w:spacing w:val="2"/>
                                <w:kern w:val="2"/>
                                <w:sz w:val="84"/>
                                <w:szCs w:val="84"/>
                                <w:highlight w:val="none"/>
                                <w:lang w:val="en-US" w:eastAsia="zh-CN" w:bidi="ar-SA"/>
                              </w:rPr>
                              <w:t>项目详细方案</w:t>
                            </w:r>
                          </w:p>
                        </w:txbxContent>
                      </wps:txbx>
                      <wps:bodyPr rot="0" spcFirstLastPara="0" vertOverflow="overflow" horzOverflow="overflow" vert="eaVert"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98.95pt;margin-top:19.25pt;height:378.8pt;width:144pt;mso-wrap-distance-bottom:0pt;mso-wrap-distance-left:9pt;mso-wrap-distance-right:9pt;mso-wrap-distance-top:0pt;z-index:251659264;mso-width-relative:page;mso-height-relative:page;" fillcolor="#FFFFFF [3201]" filled="t" stroked="f" coordsize="21600,21600" o:gfxdata="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w9DkDXAAAACgEA&#10;AA8AAAAAAAAAAQAgAAAAIgAAAGRycy9kb3ducmV2LnhtbFBLAQIUABQAAAAIAIdO4kCq3q6oVAIA&#10;AJIEAAAOAAAAAAAAAAEAIAAAACYBAABkcnMvZTJvRG9jLnhtbFBLBQYAAAAABgAGAFkBAADsBQAA&#10;AAA=&#10;">
                <v:fill on="t" focussize="0,0"/>
                <v:stroke on="f" weight="0.5pt"/>
                <v:imagedata o:title=""/>
                <o:lock v:ext="edit" aspectratio="f"/>
                <v:textbox style="layout-flow:vertical-ideographic;mso-fit-shape-to-text:t;">
                  <w:txbxContent>
                    <w:p w14:paraId="24C9F21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sz w:val="84"/>
                          <w:szCs w:val="84"/>
                        </w:rPr>
                      </w:pPr>
                      <w:r>
                        <w:rPr>
                          <w:rFonts w:hint="eastAsia" w:ascii="宋体" w:hAnsi="宋体" w:eastAsia="宋体" w:cs="宋体"/>
                          <w:b/>
                          <w:bCs/>
                          <w:i w:val="0"/>
                          <w:iCs w:val="0"/>
                          <w:caps w:val="0"/>
                          <w:color w:val="auto"/>
                          <w:spacing w:val="2"/>
                          <w:kern w:val="2"/>
                          <w:sz w:val="84"/>
                          <w:szCs w:val="84"/>
                          <w:highlight w:val="none"/>
                          <w:lang w:val="en-US" w:eastAsia="zh-CN" w:bidi="ar-SA"/>
                        </w:rPr>
                        <w:t>项目详细方案</w:t>
                      </w:r>
                    </w:p>
                  </w:txbxContent>
                </v:textbox>
                <w10:wrap type="square"/>
              </v:shape>
            </w:pict>
          </mc:Fallback>
        </mc:AlternateContent>
      </w:r>
    </w:p>
    <w:p w14:paraId="17057624">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28795334">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294CA1A9">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210F083D">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0B298A33">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41EB5881">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7A434306">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4947004B">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4D3B7DEC">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7807B5D8">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3EEF6906">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47E33438">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716FFAEE">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4797B129">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p>
    <w:p w14:paraId="5224061A">
      <w:pPr>
        <w:keepNext w:val="0"/>
        <w:keepLines w:val="0"/>
        <w:pageBreakBefore w:val="0"/>
        <w:widowControl w:val="0"/>
        <w:kinsoku/>
        <w:wordWrap/>
        <w:overflowPunct/>
        <w:topLinePunct w:val="0"/>
        <w:autoSpaceDE/>
        <w:autoSpaceDN/>
        <w:bidi w:val="0"/>
        <w:adjustRightInd/>
        <w:snapToGrid/>
        <w:ind w:left="480" w:leftChars="200"/>
        <w:jc w:val="center"/>
        <w:textAlignment w:val="auto"/>
        <w:rPr>
          <w:rFonts w:hint="eastAsia"/>
          <w:lang w:val="en-US" w:eastAsia="zh-CN"/>
        </w:rPr>
      </w:pPr>
    </w:p>
    <w:p w14:paraId="68F1DEAF">
      <w:pPr>
        <w:keepNext w:val="0"/>
        <w:keepLines w:val="0"/>
        <w:pageBreakBefore w:val="0"/>
        <w:widowControl w:val="0"/>
        <w:kinsoku/>
        <w:wordWrap/>
        <w:overflowPunct/>
        <w:topLinePunct w:val="0"/>
        <w:autoSpaceDE/>
        <w:autoSpaceDN/>
        <w:bidi w:val="0"/>
        <w:adjustRightInd/>
        <w:snapToGrid/>
        <w:ind w:left="480" w:leftChars="200"/>
        <w:jc w:val="center"/>
        <w:textAlignment w:val="auto"/>
        <w:rPr>
          <w:rFonts w:hint="eastAsia"/>
          <w:lang w:val="en-US" w:eastAsia="zh-CN"/>
        </w:rPr>
      </w:pPr>
    </w:p>
    <w:p w14:paraId="5577320F">
      <w:pPr>
        <w:keepNext w:val="0"/>
        <w:keepLines w:val="0"/>
        <w:pageBreakBefore w:val="0"/>
        <w:widowControl w:val="0"/>
        <w:kinsoku/>
        <w:wordWrap/>
        <w:overflowPunct/>
        <w:topLinePunct w:val="0"/>
        <w:autoSpaceDE/>
        <w:autoSpaceDN/>
        <w:bidi w:val="0"/>
        <w:adjustRightInd/>
        <w:snapToGrid/>
        <w:ind w:left="480" w:leftChars="200"/>
        <w:jc w:val="center"/>
        <w:textAlignment w:val="auto"/>
        <w:rPr>
          <w:rFonts w:hint="eastAsia"/>
          <w:lang w:val="en-US" w:eastAsia="zh-CN"/>
        </w:rPr>
      </w:pPr>
    </w:p>
    <w:p w14:paraId="3EE6C339">
      <w:pPr>
        <w:keepNext w:val="0"/>
        <w:keepLines w:val="0"/>
        <w:pageBreakBefore w:val="0"/>
        <w:widowControl w:val="0"/>
        <w:kinsoku/>
        <w:wordWrap/>
        <w:overflowPunct/>
        <w:topLinePunct w:val="0"/>
        <w:autoSpaceDE/>
        <w:autoSpaceDN/>
        <w:bidi w:val="0"/>
        <w:adjustRightInd/>
        <w:snapToGrid/>
        <w:ind w:left="480" w:leftChars="200"/>
        <w:jc w:val="center"/>
        <w:textAlignment w:val="auto"/>
        <w:rPr>
          <w:rFonts w:hint="eastAsia"/>
          <w:lang w:val="en-US" w:eastAsia="zh-CN"/>
        </w:rPr>
      </w:pPr>
    </w:p>
    <w:p w14:paraId="0330702D">
      <w:pPr>
        <w:keepNext w:val="0"/>
        <w:keepLines w:val="0"/>
        <w:pageBreakBefore w:val="0"/>
        <w:widowControl w:val="0"/>
        <w:kinsoku/>
        <w:wordWrap/>
        <w:overflowPunct/>
        <w:topLinePunct w:val="0"/>
        <w:autoSpaceDE/>
        <w:autoSpaceDN/>
        <w:bidi w:val="0"/>
        <w:adjustRightInd/>
        <w:snapToGrid/>
        <w:ind w:left="480" w:leftChars="200"/>
        <w:jc w:val="center"/>
        <w:textAlignment w:val="auto"/>
      </w:pPr>
      <w:r>
        <w:rPr>
          <w:rFonts w:hint="eastAsia"/>
          <w:lang w:val="en-US" w:eastAsia="zh-CN"/>
        </w:rPr>
        <w:t>学校：浙江工业大学</w:t>
      </w:r>
    </w:p>
    <w:p w14:paraId="77B1324D">
      <w:pPr>
        <w:keepNext w:val="0"/>
        <w:keepLines w:val="0"/>
        <w:pageBreakBefore w:val="0"/>
        <w:widowControl w:val="0"/>
        <w:kinsoku/>
        <w:wordWrap/>
        <w:overflowPunct/>
        <w:topLinePunct w:val="0"/>
        <w:autoSpaceDE/>
        <w:autoSpaceDN/>
        <w:bidi w:val="0"/>
        <w:adjustRightInd/>
        <w:snapToGrid/>
        <w:ind w:left="480" w:leftChars="200"/>
        <w:jc w:val="center"/>
        <w:textAlignment w:val="auto"/>
        <w:rPr>
          <w:rFonts w:hint="eastAsia"/>
          <w:lang w:val="en-US" w:eastAsia="zh-CN"/>
        </w:rPr>
      </w:pPr>
      <w:r>
        <w:rPr>
          <w:rFonts w:hint="eastAsia"/>
          <w:lang w:val="en-US" w:eastAsia="zh-CN"/>
        </w:rPr>
        <w:t>队伍：越琢磨越队</w:t>
      </w:r>
    </w:p>
    <w:p w14:paraId="01ACF8EA">
      <w:pPr>
        <w:keepNext w:val="0"/>
        <w:keepLines w:val="0"/>
        <w:pageBreakBefore w:val="0"/>
        <w:widowControl w:val="0"/>
        <w:kinsoku/>
        <w:wordWrap/>
        <w:overflowPunct/>
        <w:topLinePunct w:val="0"/>
        <w:autoSpaceDE/>
        <w:autoSpaceDN/>
        <w:bidi w:val="0"/>
        <w:adjustRightInd/>
        <w:snapToGrid/>
        <w:ind w:left="480" w:leftChars="200"/>
        <w:jc w:val="center"/>
        <w:textAlignment w:val="auto"/>
      </w:pPr>
      <w:r>
        <w:rPr>
          <w:rFonts w:hint="eastAsia"/>
          <w:lang w:val="en-US" w:eastAsia="zh-CN"/>
        </w:rPr>
        <w:t>日期：2026年4月</w:t>
      </w:r>
    </w:p>
    <w:p w14:paraId="19EDAE3B">
      <w:pPr>
        <w:keepNext w:val="0"/>
        <w:keepLines w:val="0"/>
        <w:pageBreakBefore w:val="0"/>
        <w:widowControl w:val="0"/>
        <w:kinsoku/>
        <w:wordWrap/>
        <w:overflowPunct/>
        <w:topLinePunct w:val="0"/>
        <w:autoSpaceDE/>
        <w:autoSpaceDN/>
        <w:bidi w:val="0"/>
        <w:adjustRightInd/>
        <w:snapToGrid/>
        <w:ind w:left="480" w:leftChars="200"/>
        <w:jc w:val="both"/>
        <w:textAlignment w:val="auto"/>
        <w:rPr>
          <w:rFonts w:hint="eastAsia" w:ascii="黑体" w:hAnsi="黑体" w:eastAsia="黑体" w:cs="黑体"/>
          <w:sz w:val="44"/>
          <w:szCs w:val="44"/>
          <w:lang w:val="en-US" w:eastAsia="zh-CN"/>
        </w:rPr>
      </w:pPr>
    </w:p>
    <w:p w14:paraId="0B909C6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黑体" w:hAnsi="黑体" w:eastAsia="黑体" w:cs="黑体"/>
          <w:sz w:val="44"/>
          <w:szCs w:val="44"/>
          <w:lang w:val="en-US" w:eastAsia="zh-CN"/>
        </w:rPr>
      </w:pPr>
    </w:p>
    <w:sdt>
      <w:sdtPr>
        <w:rPr>
          <w:rFonts w:ascii="宋体" w:hAnsi="宋体" w:eastAsia="宋体" w:cstheme="minorBidi"/>
          <w:kern w:val="2"/>
          <w:sz w:val="21"/>
          <w:szCs w:val="24"/>
          <w:lang w:val="en-US" w:eastAsia="zh-CN" w:bidi="ar-SA"/>
        </w:rPr>
        <w:id w:val="147466639"/>
        <w15:color w:val="DBDBDB"/>
        <w:docPartObj>
          <w:docPartGallery w:val="Table of Contents"/>
          <w:docPartUnique/>
        </w:docPartObj>
      </w:sdtPr>
      <w:sdtEndPr>
        <w:rPr>
          <w:rFonts w:hint="eastAsia" w:ascii="宋体" w:hAnsi="宋体" w:eastAsia="宋体" w:cs="宋体"/>
          <w:b/>
          <w:bCs/>
          <w:kern w:val="0"/>
          <w:sz w:val="28"/>
          <w:szCs w:val="36"/>
          <w:lang w:val="en-US" w:eastAsia="zh-CN" w:bidi="ar"/>
        </w:rPr>
      </w:sdtEndPr>
      <w:sdtContent>
        <w:p w14:paraId="5E60BDB6">
          <w:pPr>
            <w:spacing w:before="0" w:beforeLines="0" w:after="0" w:afterLines="0" w:line="240" w:lineRule="auto"/>
            <w:ind w:left="0" w:leftChars="0" w:right="0" w:rightChars="0" w:firstLine="0" w:firstLineChars="0"/>
            <w:jc w:val="both"/>
            <w:rPr>
              <w:rFonts w:ascii="宋体" w:hAnsi="宋体" w:eastAsia="宋体" w:cstheme="minorBidi"/>
              <w:kern w:val="2"/>
              <w:sz w:val="21"/>
              <w:szCs w:val="24"/>
              <w:lang w:val="en-US" w:eastAsia="zh-CN" w:bidi="ar-SA"/>
            </w:rPr>
          </w:pPr>
        </w:p>
        <w:p w14:paraId="4DC0D6ED">
          <w:pPr>
            <w:pStyle w:val="2"/>
            <w:bidi w:val="0"/>
            <w:jc w:val="center"/>
          </w:pPr>
          <w:r>
            <w:t>目录</w:t>
          </w:r>
        </w:p>
        <w:p w14:paraId="57070D77">
          <w:pPr>
            <w:pStyle w:val="9"/>
            <w:tabs>
              <w:tab w:val="right" w:leader="dot" w:pos="9071"/>
            </w:tabs>
          </w:pPr>
          <w:r>
            <w:rPr>
              <w:rFonts w:hint="eastAsia"/>
            </w:rPr>
            <w:fldChar w:fldCharType="begin"/>
          </w:r>
          <w:r>
            <w:rPr>
              <w:rFonts w:hint="eastAsia"/>
            </w:rPr>
            <w:instrText xml:space="preserve">TOC \o "1-2" \h \u </w:instrText>
          </w:r>
          <w:r>
            <w:rPr>
              <w:rFonts w:hint="eastAsia"/>
            </w:rPr>
            <w:fldChar w:fldCharType="separate"/>
          </w:r>
          <w:r>
            <w:rPr>
              <w:rFonts w:hint="eastAsia"/>
            </w:rPr>
            <w:fldChar w:fldCharType="begin"/>
          </w:r>
          <w:r>
            <w:rPr>
              <w:rFonts w:hint="eastAsia"/>
            </w:rPr>
            <w:instrText xml:space="preserve"> HYPERLINK \l _Toc4797 </w:instrText>
          </w:r>
          <w:r>
            <w:rPr>
              <w:rFonts w:hint="eastAsia"/>
            </w:rPr>
            <w:fldChar w:fldCharType="separate"/>
          </w:r>
          <w:r>
            <w:rPr>
              <w:rFonts w:hint="eastAsia"/>
            </w:rPr>
            <w:t>一、</w:t>
          </w:r>
          <w:r>
            <w:rPr>
              <w:rFonts w:hint="eastAsia"/>
              <w:lang w:val="en-US" w:eastAsia="zh-CN"/>
            </w:rPr>
            <w:t>前言</w:t>
          </w:r>
          <w:r>
            <w:tab/>
          </w:r>
          <w:r>
            <w:fldChar w:fldCharType="begin"/>
          </w:r>
          <w:r>
            <w:instrText xml:space="preserve"> PAGEREF _Toc4797 \h </w:instrText>
          </w:r>
          <w:r>
            <w:fldChar w:fldCharType="separate"/>
          </w:r>
          <w:r>
            <w:t>2</w:t>
          </w:r>
          <w:r>
            <w:fldChar w:fldCharType="end"/>
          </w:r>
          <w:r>
            <w:rPr>
              <w:rFonts w:hint="eastAsia"/>
            </w:rPr>
            <w:fldChar w:fldCharType="end"/>
          </w:r>
        </w:p>
        <w:p w14:paraId="212718E1">
          <w:pPr>
            <w:pStyle w:val="9"/>
            <w:tabs>
              <w:tab w:val="right" w:leader="dot" w:pos="9071"/>
            </w:tabs>
          </w:pPr>
          <w:r>
            <w:rPr>
              <w:rFonts w:hint="eastAsia"/>
            </w:rPr>
            <w:fldChar w:fldCharType="begin"/>
          </w:r>
          <w:r>
            <w:rPr>
              <w:rFonts w:hint="eastAsia"/>
            </w:rPr>
            <w:instrText xml:space="preserve"> HYPERLINK \l _Toc27966 </w:instrText>
          </w:r>
          <w:r>
            <w:rPr>
              <w:rFonts w:hint="eastAsia"/>
            </w:rPr>
            <w:fldChar w:fldCharType="separate"/>
          </w:r>
          <w:r>
            <w:rPr>
              <w:rFonts w:hint="eastAsia"/>
              <w:lang w:val="en-US" w:eastAsia="zh-CN"/>
            </w:rPr>
            <w:t>二、应用对象与环境</w:t>
          </w:r>
          <w:r>
            <w:tab/>
          </w:r>
          <w:r>
            <w:fldChar w:fldCharType="begin"/>
          </w:r>
          <w:r>
            <w:instrText xml:space="preserve"> PAGEREF _Toc27966 \h </w:instrText>
          </w:r>
          <w:r>
            <w:fldChar w:fldCharType="separate"/>
          </w:r>
          <w:r>
            <w:t>2</w:t>
          </w:r>
          <w:r>
            <w:fldChar w:fldCharType="end"/>
          </w:r>
          <w:r>
            <w:rPr>
              <w:rFonts w:hint="eastAsia"/>
            </w:rPr>
            <w:fldChar w:fldCharType="end"/>
          </w:r>
        </w:p>
        <w:p w14:paraId="12448626">
          <w:pPr>
            <w:pStyle w:val="9"/>
            <w:tabs>
              <w:tab w:val="right" w:leader="dot" w:pos="9071"/>
            </w:tabs>
          </w:pPr>
          <w:r>
            <w:rPr>
              <w:rFonts w:hint="eastAsia"/>
            </w:rPr>
            <w:fldChar w:fldCharType="begin"/>
          </w:r>
          <w:r>
            <w:rPr>
              <w:rFonts w:hint="eastAsia"/>
            </w:rPr>
            <w:instrText xml:space="preserve"> HYPERLINK \l _Toc13997 </w:instrText>
          </w:r>
          <w:r>
            <w:rPr>
              <w:rFonts w:hint="eastAsia"/>
            </w:rPr>
            <w:fldChar w:fldCharType="separate"/>
          </w:r>
          <w:r>
            <w:rPr>
              <w:rFonts w:hint="eastAsia"/>
              <w:lang w:val="en-US" w:eastAsia="zh-CN"/>
            </w:rPr>
            <w:t>三、</w:t>
          </w:r>
          <w:r>
            <w:rPr>
              <w:rFonts w:hint="default"/>
              <w:lang w:val="en-US" w:eastAsia="zh-CN"/>
            </w:rPr>
            <w:t>技术架构</w:t>
          </w:r>
          <w:r>
            <w:tab/>
          </w:r>
          <w:r>
            <w:fldChar w:fldCharType="begin"/>
          </w:r>
          <w:r>
            <w:instrText xml:space="preserve"> PAGEREF _Toc13997 \h </w:instrText>
          </w:r>
          <w:r>
            <w:fldChar w:fldCharType="separate"/>
          </w:r>
          <w:r>
            <w:t>3</w:t>
          </w:r>
          <w:r>
            <w:fldChar w:fldCharType="end"/>
          </w:r>
          <w:r>
            <w:rPr>
              <w:rFonts w:hint="eastAsia"/>
            </w:rPr>
            <w:fldChar w:fldCharType="end"/>
          </w:r>
        </w:p>
        <w:p w14:paraId="18ED85CF">
          <w:pPr>
            <w:pStyle w:val="9"/>
            <w:tabs>
              <w:tab w:val="right" w:leader="dot" w:pos="9071"/>
            </w:tabs>
          </w:pPr>
          <w:r>
            <w:rPr>
              <w:rFonts w:hint="eastAsia"/>
            </w:rPr>
            <w:fldChar w:fldCharType="begin"/>
          </w:r>
          <w:r>
            <w:rPr>
              <w:rFonts w:hint="eastAsia"/>
            </w:rPr>
            <w:instrText xml:space="preserve"> HYPERLINK \l _Toc31420 </w:instrText>
          </w:r>
          <w:r>
            <w:rPr>
              <w:rFonts w:hint="eastAsia"/>
            </w:rPr>
            <w:fldChar w:fldCharType="separate"/>
          </w:r>
          <w:r>
            <w:rPr>
              <w:rFonts w:hint="eastAsia"/>
              <w:lang w:val="en-US" w:eastAsia="zh-CN"/>
            </w:rPr>
            <w:t>四、</w:t>
          </w:r>
          <w:r>
            <w:rPr>
              <w:rFonts w:hint="default"/>
              <w:lang w:val="en-US" w:eastAsia="zh-CN"/>
            </w:rPr>
            <w:t>数据</w:t>
          </w:r>
          <w:r>
            <w:rPr>
              <w:rFonts w:hint="eastAsia"/>
              <w:lang w:val="en-US" w:eastAsia="zh-CN"/>
            </w:rPr>
            <w:t>处理部分概述</w:t>
          </w:r>
          <w:r>
            <w:tab/>
          </w:r>
          <w:r>
            <w:fldChar w:fldCharType="begin"/>
          </w:r>
          <w:r>
            <w:instrText xml:space="preserve"> PAGEREF _Toc31420 \h </w:instrText>
          </w:r>
          <w:r>
            <w:fldChar w:fldCharType="separate"/>
          </w:r>
          <w:r>
            <w:t>5</w:t>
          </w:r>
          <w:r>
            <w:fldChar w:fldCharType="end"/>
          </w:r>
          <w:r>
            <w:rPr>
              <w:rFonts w:hint="eastAsia"/>
            </w:rPr>
            <w:fldChar w:fldCharType="end"/>
          </w:r>
        </w:p>
        <w:p w14:paraId="54DE8AE7">
          <w:pPr>
            <w:pStyle w:val="9"/>
            <w:tabs>
              <w:tab w:val="right" w:leader="dot" w:pos="9071"/>
            </w:tabs>
          </w:pPr>
          <w:r>
            <w:rPr>
              <w:rFonts w:hint="eastAsia"/>
            </w:rPr>
            <w:fldChar w:fldCharType="begin"/>
          </w:r>
          <w:r>
            <w:rPr>
              <w:rFonts w:hint="eastAsia"/>
            </w:rPr>
            <w:instrText xml:space="preserve"> HYPERLINK \l _Toc3049 </w:instrText>
          </w:r>
          <w:r>
            <w:rPr>
              <w:rFonts w:hint="eastAsia"/>
            </w:rPr>
            <w:fldChar w:fldCharType="separate"/>
          </w:r>
          <w:r>
            <w:rPr>
              <w:rFonts w:hint="eastAsia"/>
              <w:lang w:val="en-US" w:eastAsia="zh-CN"/>
            </w:rPr>
            <w:t>五、数据清洗与预处理</w:t>
          </w:r>
          <w:r>
            <w:tab/>
          </w:r>
          <w:r>
            <w:fldChar w:fldCharType="begin"/>
          </w:r>
          <w:r>
            <w:instrText xml:space="preserve"> PAGEREF _Toc3049 \h </w:instrText>
          </w:r>
          <w:r>
            <w:fldChar w:fldCharType="separate"/>
          </w:r>
          <w:r>
            <w:t>7</w:t>
          </w:r>
          <w:r>
            <w:fldChar w:fldCharType="end"/>
          </w:r>
          <w:r>
            <w:rPr>
              <w:rFonts w:hint="eastAsia"/>
            </w:rPr>
            <w:fldChar w:fldCharType="end"/>
          </w:r>
        </w:p>
        <w:p w14:paraId="355F6B0A">
          <w:pPr>
            <w:pStyle w:val="9"/>
            <w:tabs>
              <w:tab w:val="right" w:leader="dot" w:pos="9071"/>
            </w:tabs>
          </w:pPr>
          <w:r>
            <w:rPr>
              <w:rFonts w:hint="eastAsia"/>
            </w:rPr>
            <w:fldChar w:fldCharType="begin"/>
          </w:r>
          <w:r>
            <w:rPr>
              <w:rFonts w:hint="eastAsia"/>
            </w:rPr>
            <w:instrText xml:space="preserve"> HYPERLINK \l _Toc17670 </w:instrText>
          </w:r>
          <w:r>
            <w:rPr>
              <w:rFonts w:hint="eastAsia"/>
            </w:rPr>
            <w:fldChar w:fldCharType="separate"/>
          </w:r>
          <w:r>
            <w:rPr>
              <w:rFonts w:hint="eastAsia"/>
              <w:lang w:val="en-US" w:eastAsia="zh-CN"/>
            </w:rPr>
            <w:t>六、探索性数据分析</w:t>
          </w:r>
          <w:r>
            <w:tab/>
          </w:r>
          <w:r>
            <w:fldChar w:fldCharType="begin"/>
          </w:r>
          <w:r>
            <w:instrText xml:space="preserve"> PAGEREF _Toc17670 \h </w:instrText>
          </w:r>
          <w:r>
            <w:fldChar w:fldCharType="separate"/>
          </w:r>
          <w:r>
            <w:t>8</w:t>
          </w:r>
          <w:r>
            <w:fldChar w:fldCharType="end"/>
          </w:r>
          <w:r>
            <w:rPr>
              <w:rFonts w:hint="eastAsia"/>
            </w:rPr>
            <w:fldChar w:fldCharType="end"/>
          </w:r>
        </w:p>
        <w:p w14:paraId="5D3BCDD1">
          <w:pPr>
            <w:pStyle w:val="9"/>
            <w:tabs>
              <w:tab w:val="right" w:leader="dot" w:pos="9071"/>
            </w:tabs>
          </w:pPr>
          <w:r>
            <w:rPr>
              <w:rFonts w:hint="eastAsia"/>
            </w:rPr>
            <w:fldChar w:fldCharType="begin"/>
          </w:r>
          <w:r>
            <w:rPr>
              <w:rFonts w:hint="eastAsia"/>
            </w:rPr>
            <w:instrText xml:space="preserve"> HYPERLINK \l _Toc1460 </w:instrText>
          </w:r>
          <w:r>
            <w:rPr>
              <w:rFonts w:hint="eastAsia"/>
            </w:rPr>
            <w:fldChar w:fldCharType="separate"/>
          </w:r>
          <w:r>
            <w:rPr>
              <w:rFonts w:hint="eastAsia"/>
              <w:lang w:val="en-US" w:eastAsia="zh-CN"/>
            </w:rPr>
            <w:t>七、特征工程处理</w:t>
          </w:r>
          <w:r>
            <w:tab/>
          </w:r>
          <w:r>
            <w:fldChar w:fldCharType="begin"/>
          </w:r>
          <w:r>
            <w:instrText xml:space="preserve"> PAGEREF _Toc1460 \h </w:instrText>
          </w:r>
          <w:r>
            <w:fldChar w:fldCharType="separate"/>
          </w:r>
          <w:r>
            <w:t>10</w:t>
          </w:r>
          <w:r>
            <w:fldChar w:fldCharType="end"/>
          </w:r>
          <w:r>
            <w:rPr>
              <w:rFonts w:hint="eastAsia"/>
            </w:rPr>
            <w:fldChar w:fldCharType="end"/>
          </w:r>
        </w:p>
        <w:p w14:paraId="7D2ADE8F">
          <w:pPr>
            <w:pStyle w:val="9"/>
            <w:tabs>
              <w:tab w:val="right" w:leader="dot" w:pos="9071"/>
            </w:tabs>
          </w:pPr>
          <w:r>
            <w:rPr>
              <w:rFonts w:hint="eastAsia"/>
            </w:rPr>
            <w:fldChar w:fldCharType="begin"/>
          </w:r>
          <w:r>
            <w:rPr>
              <w:rFonts w:hint="eastAsia"/>
            </w:rPr>
            <w:instrText xml:space="preserve"> HYPERLINK \l _Toc10698 </w:instrText>
          </w:r>
          <w:r>
            <w:rPr>
              <w:rFonts w:hint="eastAsia"/>
            </w:rPr>
            <w:fldChar w:fldCharType="separate"/>
          </w:r>
          <w:r>
            <w:rPr>
              <w:rFonts w:hint="eastAsia"/>
              <w:lang w:val="en-US" w:eastAsia="zh-CN"/>
            </w:rPr>
            <w:t>八、学生分群画像建模</w:t>
          </w:r>
          <w:r>
            <w:tab/>
          </w:r>
          <w:r>
            <w:fldChar w:fldCharType="begin"/>
          </w:r>
          <w:r>
            <w:instrText xml:space="preserve"> PAGEREF _Toc10698 \h </w:instrText>
          </w:r>
          <w:r>
            <w:fldChar w:fldCharType="separate"/>
          </w:r>
          <w:r>
            <w:t>11</w:t>
          </w:r>
          <w:r>
            <w:fldChar w:fldCharType="end"/>
          </w:r>
          <w:r>
            <w:rPr>
              <w:rFonts w:hint="eastAsia"/>
            </w:rPr>
            <w:fldChar w:fldCharType="end"/>
          </w:r>
        </w:p>
        <w:p w14:paraId="1C0A3E6F">
          <w:pPr>
            <w:pStyle w:val="9"/>
            <w:tabs>
              <w:tab w:val="right" w:leader="dot" w:pos="9071"/>
            </w:tabs>
          </w:pPr>
          <w:r>
            <w:rPr>
              <w:rFonts w:hint="eastAsia"/>
            </w:rPr>
            <w:fldChar w:fldCharType="begin"/>
          </w:r>
          <w:r>
            <w:rPr>
              <w:rFonts w:hint="eastAsia"/>
            </w:rPr>
            <w:instrText xml:space="preserve"> HYPERLINK \l _Toc19603 </w:instrText>
          </w:r>
          <w:r>
            <w:rPr>
              <w:rFonts w:hint="eastAsia"/>
            </w:rPr>
            <w:fldChar w:fldCharType="separate"/>
          </w:r>
          <w:r>
            <w:rPr>
              <w:rFonts w:hint="eastAsia"/>
              <w:lang w:val="en-US" w:eastAsia="zh-CN"/>
            </w:rPr>
            <w:t>九、学业风险预警模型</w:t>
          </w:r>
          <w:r>
            <w:tab/>
          </w:r>
          <w:r>
            <w:fldChar w:fldCharType="begin"/>
          </w:r>
          <w:r>
            <w:instrText xml:space="preserve"> PAGEREF _Toc19603 \h </w:instrText>
          </w:r>
          <w:r>
            <w:fldChar w:fldCharType="separate"/>
          </w:r>
          <w:r>
            <w:t>12</w:t>
          </w:r>
          <w:r>
            <w:fldChar w:fldCharType="end"/>
          </w:r>
          <w:r>
            <w:rPr>
              <w:rFonts w:hint="eastAsia"/>
            </w:rPr>
            <w:fldChar w:fldCharType="end"/>
          </w:r>
        </w:p>
        <w:p w14:paraId="32A33936">
          <w:pPr>
            <w:pStyle w:val="9"/>
            <w:tabs>
              <w:tab w:val="right" w:leader="dot" w:pos="9071"/>
            </w:tabs>
          </w:pPr>
          <w:r>
            <w:rPr>
              <w:rFonts w:hint="eastAsia"/>
            </w:rPr>
            <w:fldChar w:fldCharType="begin"/>
          </w:r>
          <w:r>
            <w:rPr>
              <w:rFonts w:hint="eastAsia"/>
            </w:rPr>
            <w:instrText xml:space="preserve"> HYPERLINK \l _Toc12999 </w:instrText>
          </w:r>
          <w:r>
            <w:rPr>
              <w:rFonts w:hint="eastAsia"/>
            </w:rPr>
            <w:fldChar w:fldCharType="separate"/>
          </w:r>
          <w:r>
            <w:rPr>
              <w:rFonts w:hint="eastAsia"/>
              <w:lang w:val="en-US" w:eastAsia="zh-CN"/>
            </w:rPr>
            <w:t>十、未来发展预测模型</w:t>
          </w:r>
          <w:r>
            <w:tab/>
          </w:r>
          <w:r>
            <w:fldChar w:fldCharType="begin"/>
          </w:r>
          <w:r>
            <w:instrText xml:space="preserve"> PAGEREF _Toc12999 \h </w:instrText>
          </w:r>
          <w:r>
            <w:fldChar w:fldCharType="separate"/>
          </w:r>
          <w:r>
            <w:t>13</w:t>
          </w:r>
          <w:r>
            <w:fldChar w:fldCharType="end"/>
          </w:r>
          <w:r>
            <w:rPr>
              <w:rFonts w:hint="eastAsia"/>
            </w:rPr>
            <w:fldChar w:fldCharType="end"/>
          </w:r>
        </w:p>
        <w:p w14:paraId="1B8F875B">
          <w:pPr>
            <w:pStyle w:val="9"/>
            <w:tabs>
              <w:tab w:val="right" w:leader="dot" w:pos="9071"/>
            </w:tabs>
          </w:pPr>
          <w:r>
            <w:rPr>
              <w:rFonts w:hint="eastAsia"/>
            </w:rPr>
            <w:fldChar w:fldCharType="begin"/>
          </w:r>
          <w:r>
            <w:rPr>
              <w:rFonts w:hint="eastAsia"/>
            </w:rPr>
            <w:instrText xml:space="preserve"> HYPERLINK \l _Toc24945 </w:instrText>
          </w:r>
          <w:r>
            <w:rPr>
              <w:rFonts w:hint="eastAsia"/>
            </w:rPr>
            <w:fldChar w:fldCharType="separate"/>
          </w:r>
          <w:r>
            <w:rPr>
              <w:rFonts w:hint="default"/>
              <w:lang w:val="en-US" w:eastAsia="zh-CN"/>
            </w:rPr>
            <w:t>十</w:t>
          </w:r>
          <w:r>
            <w:rPr>
              <w:rFonts w:hint="eastAsia"/>
              <w:lang w:val="en-US" w:eastAsia="zh-CN"/>
            </w:rPr>
            <w:t>一</w:t>
          </w:r>
          <w:r>
            <w:rPr>
              <w:rFonts w:hint="default"/>
              <w:lang w:val="en-US" w:eastAsia="zh-CN"/>
            </w:rPr>
            <w:t>、创意描述</w:t>
          </w:r>
          <w:r>
            <w:tab/>
          </w:r>
          <w:r>
            <w:fldChar w:fldCharType="begin"/>
          </w:r>
          <w:r>
            <w:instrText xml:space="preserve"> PAGEREF _Toc24945 \h </w:instrText>
          </w:r>
          <w:r>
            <w:fldChar w:fldCharType="separate"/>
          </w:r>
          <w:r>
            <w:t>13</w:t>
          </w:r>
          <w:r>
            <w:fldChar w:fldCharType="end"/>
          </w:r>
          <w:r>
            <w:rPr>
              <w:rFonts w:hint="eastAsia"/>
            </w:rPr>
            <w:fldChar w:fldCharType="end"/>
          </w:r>
        </w:p>
        <w:p w14:paraId="6136A4B7">
          <w:pPr>
            <w:pStyle w:val="9"/>
            <w:tabs>
              <w:tab w:val="right" w:leader="dot" w:pos="9071"/>
            </w:tabs>
          </w:pPr>
          <w:r>
            <w:rPr>
              <w:rFonts w:hint="eastAsia"/>
            </w:rPr>
            <w:fldChar w:fldCharType="begin"/>
          </w:r>
          <w:r>
            <w:rPr>
              <w:rFonts w:hint="eastAsia"/>
            </w:rPr>
            <w:instrText xml:space="preserve"> HYPERLINK \l _Toc2773 </w:instrText>
          </w:r>
          <w:r>
            <w:rPr>
              <w:rFonts w:hint="eastAsia"/>
            </w:rPr>
            <w:fldChar w:fldCharType="separate"/>
          </w:r>
          <w:r>
            <w:rPr>
              <w:rFonts w:hint="default"/>
              <w:lang w:val="en-US" w:eastAsia="zh-CN"/>
            </w:rPr>
            <w:t>十</w:t>
          </w:r>
          <w:r>
            <w:rPr>
              <w:rFonts w:hint="eastAsia"/>
              <w:lang w:val="en-US" w:eastAsia="zh-CN"/>
            </w:rPr>
            <w:t>二</w:t>
          </w:r>
          <w:r>
            <w:rPr>
              <w:rFonts w:hint="default"/>
              <w:lang w:val="en-US" w:eastAsia="zh-CN"/>
            </w:rPr>
            <w:t>、功能简介</w:t>
          </w:r>
          <w:r>
            <w:tab/>
          </w:r>
          <w:r>
            <w:fldChar w:fldCharType="begin"/>
          </w:r>
          <w:r>
            <w:instrText xml:space="preserve"> PAGEREF _Toc2773 \h </w:instrText>
          </w:r>
          <w:r>
            <w:fldChar w:fldCharType="separate"/>
          </w:r>
          <w:r>
            <w:t>14</w:t>
          </w:r>
          <w:r>
            <w:fldChar w:fldCharType="end"/>
          </w:r>
          <w:r>
            <w:rPr>
              <w:rFonts w:hint="eastAsia"/>
            </w:rPr>
            <w:fldChar w:fldCharType="end"/>
          </w:r>
        </w:p>
        <w:p w14:paraId="744961DC">
          <w:pPr>
            <w:pStyle w:val="9"/>
            <w:tabs>
              <w:tab w:val="right" w:leader="dot" w:pos="9071"/>
            </w:tabs>
          </w:pPr>
          <w:r>
            <w:rPr>
              <w:rFonts w:hint="eastAsia"/>
            </w:rPr>
            <w:fldChar w:fldCharType="begin"/>
          </w:r>
          <w:r>
            <w:rPr>
              <w:rFonts w:hint="eastAsia"/>
            </w:rPr>
            <w:instrText xml:space="preserve"> HYPERLINK \l _Toc8944 </w:instrText>
          </w:r>
          <w:r>
            <w:rPr>
              <w:rFonts w:hint="eastAsia"/>
            </w:rPr>
            <w:fldChar w:fldCharType="separate"/>
          </w:r>
          <w:r>
            <w:rPr>
              <w:rFonts w:hint="default"/>
              <w:lang w:val="en-US" w:eastAsia="zh-CN"/>
            </w:rPr>
            <w:t>十</w:t>
          </w:r>
          <w:r>
            <w:rPr>
              <w:rFonts w:hint="eastAsia"/>
              <w:lang w:val="en-US" w:eastAsia="zh-CN"/>
            </w:rPr>
            <w:t>三</w:t>
          </w:r>
          <w:r>
            <w:rPr>
              <w:rFonts w:hint="default"/>
              <w:lang w:val="en-US" w:eastAsia="zh-CN"/>
            </w:rPr>
            <w:t>、特色综述</w:t>
          </w:r>
          <w:r>
            <w:tab/>
          </w:r>
          <w:r>
            <w:fldChar w:fldCharType="begin"/>
          </w:r>
          <w:r>
            <w:instrText xml:space="preserve"> PAGEREF _Toc8944 \h </w:instrText>
          </w:r>
          <w:r>
            <w:fldChar w:fldCharType="separate"/>
          </w:r>
          <w:r>
            <w:t>15</w:t>
          </w:r>
          <w:r>
            <w:fldChar w:fldCharType="end"/>
          </w:r>
          <w:r>
            <w:rPr>
              <w:rFonts w:hint="eastAsia"/>
            </w:rPr>
            <w:fldChar w:fldCharType="end"/>
          </w:r>
        </w:p>
        <w:p w14:paraId="59B45954">
          <w:pPr>
            <w:pStyle w:val="9"/>
            <w:tabs>
              <w:tab w:val="right" w:leader="dot" w:pos="9071"/>
            </w:tabs>
          </w:pPr>
          <w:r>
            <w:rPr>
              <w:rFonts w:hint="eastAsia"/>
            </w:rPr>
            <w:fldChar w:fldCharType="begin"/>
          </w:r>
          <w:r>
            <w:rPr>
              <w:rFonts w:hint="eastAsia"/>
            </w:rPr>
            <w:instrText xml:space="preserve"> HYPERLINK \l _Toc16501 </w:instrText>
          </w:r>
          <w:r>
            <w:rPr>
              <w:rFonts w:hint="eastAsia"/>
            </w:rPr>
            <w:fldChar w:fldCharType="separate"/>
          </w:r>
          <w:r>
            <w:rPr>
              <w:rFonts w:hint="default"/>
              <w:lang w:val="en-US" w:eastAsia="zh-CN"/>
            </w:rPr>
            <w:t>十四、开发工具与技术</w:t>
          </w:r>
          <w:r>
            <w:tab/>
          </w:r>
          <w:r>
            <w:fldChar w:fldCharType="begin"/>
          </w:r>
          <w:r>
            <w:instrText xml:space="preserve"> PAGEREF _Toc16501 \h </w:instrText>
          </w:r>
          <w:r>
            <w:fldChar w:fldCharType="separate"/>
          </w:r>
          <w:r>
            <w:t>15</w:t>
          </w:r>
          <w:r>
            <w:fldChar w:fldCharType="end"/>
          </w:r>
          <w:r>
            <w:rPr>
              <w:rFonts w:hint="eastAsia"/>
            </w:rPr>
            <w:fldChar w:fldCharType="end"/>
          </w:r>
        </w:p>
        <w:p w14:paraId="662CC40E">
          <w:pPr>
            <w:pStyle w:val="9"/>
            <w:tabs>
              <w:tab w:val="right" w:leader="dot" w:pos="9071"/>
            </w:tabs>
          </w:pPr>
          <w:r>
            <w:rPr>
              <w:rFonts w:hint="eastAsia"/>
            </w:rPr>
            <w:fldChar w:fldCharType="begin"/>
          </w:r>
          <w:r>
            <w:rPr>
              <w:rFonts w:hint="eastAsia"/>
            </w:rPr>
            <w:instrText xml:space="preserve"> HYPERLINK \l _Toc3670 </w:instrText>
          </w:r>
          <w:r>
            <w:rPr>
              <w:rFonts w:hint="eastAsia"/>
            </w:rPr>
            <w:fldChar w:fldCharType="separate"/>
          </w:r>
          <w:r>
            <w:rPr>
              <w:rFonts w:hint="eastAsia"/>
              <w:lang w:val="en-US" w:eastAsia="zh-CN"/>
            </w:rPr>
            <w:t>十五、总结与展望</w:t>
          </w:r>
          <w:r>
            <w:tab/>
          </w:r>
          <w:r>
            <w:fldChar w:fldCharType="begin"/>
          </w:r>
          <w:r>
            <w:instrText xml:space="preserve"> PAGEREF _Toc3670 \h </w:instrText>
          </w:r>
          <w:r>
            <w:fldChar w:fldCharType="separate"/>
          </w:r>
          <w:r>
            <w:t>16</w:t>
          </w:r>
          <w:r>
            <w:fldChar w:fldCharType="end"/>
          </w:r>
          <w:r>
            <w:rPr>
              <w:rFonts w:hint="eastAsia"/>
            </w:rPr>
            <w:fldChar w:fldCharType="end"/>
          </w:r>
        </w:p>
        <w:p w14:paraId="18C8798D">
          <w:pPr>
            <w:pStyle w:val="3"/>
            <w:bidi w:val="0"/>
            <w:rPr>
              <w:rFonts w:hint="eastAsia" w:ascii="宋体" w:hAnsi="宋体" w:eastAsia="宋体" w:cs="宋体"/>
              <w:b/>
              <w:bCs/>
              <w:kern w:val="0"/>
              <w:sz w:val="28"/>
              <w:szCs w:val="36"/>
              <w:lang w:val="en-US" w:eastAsia="zh-CN" w:bidi="ar"/>
            </w:rPr>
          </w:pPr>
          <w:r>
            <w:rPr>
              <w:rFonts w:hint="eastAsia"/>
            </w:rPr>
            <w:fldChar w:fldCharType="end"/>
          </w:r>
        </w:p>
      </w:sdtContent>
    </w:sdt>
    <w:p w14:paraId="0D8BBBE9">
      <w:pPr>
        <w:rPr>
          <w:rFonts w:hint="eastAsia"/>
        </w:rPr>
      </w:pPr>
    </w:p>
    <w:p w14:paraId="67F17382">
      <w:pPr>
        <w:pStyle w:val="3"/>
        <w:bidi w:val="0"/>
        <w:rPr>
          <w:rFonts w:hint="eastAsia"/>
        </w:rPr>
      </w:pPr>
    </w:p>
    <w:p w14:paraId="528F8148">
      <w:pPr>
        <w:rPr>
          <w:rFonts w:hint="eastAsia"/>
        </w:rPr>
      </w:pPr>
    </w:p>
    <w:p w14:paraId="5E166626">
      <w:pPr>
        <w:rPr>
          <w:rFonts w:hint="eastAsia"/>
        </w:rPr>
      </w:pPr>
    </w:p>
    <w:p w14:paraId="1D9DC053">
      <w:pPr>
        <w:rPr>
          <w:rFonts w:hint="eastAsia"/>
        </w:rPr>
      </w:pPr>
    </w:p>
    <w:p w14:paraId="0888D39E">
      <w:pPr>
        <w:rPr>
          <w:rFonts w:hint="eastAsia"/>
        </w:rPr>
      </w:pPr>
    </w:p>
    <w:p w14:paraId="46EB4B77">
      <w:pPr>
        <w:rPr>
          <w:rFonts w:hint="eastAsia"/>
        </w:rPr>
      </w:pPr>
    </w:p>
    <w:p w14:paraId="2DDCE304">
      <w:pPr>
        <w:rPr>
          <w:rFonts w:hint="eastAsia"/>
        </w:rPr>
      </w:pPr>
    </w:p>
    <w:p w14:paraId="5762D983">
      <w:pPr>
        <w:rPr>
          <w:rFonts w:hint="eastAsia"/>
        </w:rPr>
      </w:pPr>
    </w:p>
    <w:p w14:paraId="12E06CB3">
      <w:pPr>
        <w:rPr>
          <w:rFonts w:hint="eastAsia"/>
        </w:rPr>
      </w:pPr>
    </w:p>
    <w:p w14:paraId="572E5B57">
      <w:pPr>
        <w:rPr>
          <w:rFonts w:hint="eastAsia"/>
        </w:rPr>
      </w:pPr>
    </w:p>
    <w:p w14:paraId="4452565F">
      <w:pPr>
        <w:rPr>
          <w:rFonts w:hint="eastAsia"/>
        </w:rPr>
      </w:pPr>
    </w:p>
    <w:p w14:paraId="13004C37">
      <w:pPr>
        <w:rPr>
          <w:rFonts w:hint="eastAsia"/>
        </w:rPr>
      </w:pPr>
    </w:p>
    <w:p w14:paraId="47720293">
      <w:pPr>
        <w:ind w:left="0" w:leftChars="0" w:firstLine="0" w:firstLineChars="0"/>
        <w:rPr>
          <w:rFonts w:hint="eastAsia"/>
        </w:rPr>
      </w:pPr>
    </w:p>
    <w:p w14:paraId="1801194C">
      <w:pPr>
        <w:pStyle w:val="3"/>
        <w:bidi w:val="0"/>
        <w:rPr>
          <w:rFonts w:hint="eastAsia"/>
          <w:lang w:eastAsia="zh-CN"/>
        </w:rPr>
      </w:pPr>
      <w:bookmarkStart w:id="1" w:name="_Toc4797"/>
      <w:r>
        <w:rPr>
          <w:rFonts w:hint="eastAsia"/>
        </w:rPr>
        <w:t>一、</w:t>
      </w:r>
      <w:r>
        <w:rPr>
          <w:rFonts w:hint="eastAsia"/>
          <w:lang w:val="en-US" w:eastAsia="zh-CN"/>
        </w:rPr>
        <w:t>前言</w:t>
      </w:r>
      <w:bookmarkEnd w:id="1"/>
    </w:p>
    <w:p w14:paraId="68717033">
      <w:pPr>
        <w:pStyle w:val="4"/>
        <w:bidi w:val="0"/>
        <w:ind w:left="0" w:leftChars="0" w:firstLine="420" w:firstLineChars="0"/>
        <w:jc w:val="both"/>
        <w:rPr>
          <w:rFonts w:hint="default"/>
          <w:lang w:val="en-US" w:eastAsia="zh-CN"/>
        </w:rPr>
      </w:pPr>
      <w:r>
        <w:rPr>
          <w:rFonts w:hint="default"/>
          <w:lang w:val="en-US" w:eastAsia="zh-CN"/>
        </w:rPr>
        <w:t>1.1 现实背景</w:t>
      </w:r>
    </w:p>
    <w:p w14:paraId="063C541C">
      <w:pPr>
        <w:bidi w:val="0"/>
        <w:ind w:firstLine="419" w:firstLineChars="0"/>
        <w:rPr>
          <w:rFonts w:hint="eastAsia"/>
          <w:lang w:eastAsia="zh-CN"/>
        </w:rPr>
      </w:pPr>
      <w:r>
        <w:rPr>
          <w:rFonts w:hint="eastAsia"/>
          <w:lang w:eastAsia="zh-CN"/>
        </w:rPr>
        <w:t>伴随高等教育普及化进程的加速，高校学生规模持续扩张，学生群体的异质性显著提升。不同学生在学业基础、学习习惯、行为模式、发展诉求等方面呈现出多元化特征，传统的“一刀切”式管理模式难以契合个性化教育支持的需求。</w:t>
      </w:r>
    </w:p>
    <w:p w14:paraId="0D3345D6">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default"/>
          <w:lang w:val="en-US" w:eastAsia="zh-CN"/>
        </w:rPr>
      </w:pPr>
      <w:r>
        <w:rPr>
          <w:rFonts w:hint="default"/>
          <w:lang w:val="en-US" w:eastAsia="zh-CN"/>
        </w:rPr>
        <w:t>与此同时，高校信息化建设积累了海量的学生数据，</w:t>
      </w:r>
      <w:r>
        <w:rPr>
          <w:rFonts w:hint="eastAsia"/>
          <w:lang w:val="en-US" w:eastAsia="zh-CN"/>
        </w:rPr>
        <w:t>涵盖</w:t>
      </w:r>
      <w:r>
        <w:rPr>
          <w:rFonts w:hint="default"/>
          <w:lang w:val="en-US" w:eastAsia="zh-CN"/>
        </w:rPr>
        <w:t>成绩记录、考勤签到、门禁通行、上网行为、图书馆借阅、社团参与、体测健康等多个维度。这些数据蕴含着学生成长发展的丰富信息，但当前多数高校对这些数据的利用仍停留在简单的统计报表层面，未能</w:t>
      </w:r>
      <w:r>
        <w:rPr>
          <w:rFonts w:hint="eastAsia"/>
          <w:lang w:val="en-US" w:eastAsia="zh-CN"/>
        </w:rPr>
        <w:t>充分挖掘</w:t>
      </w:r>
      <w:r>
        <w:rPr>
          <w:rFonts w:hint="default"/>
          <w:lang w:val="en-US" w:eastAsia="zh-CN"/>
        </w:rPr>
        <w:t>数据价值</w:t>
      </w:r>
      <w:r>
        <w:rPr>
          <w:rFonts w:hint="eastAsia"/>
          <w:lang w:val="en-US" w:eastAsia="zh-CN"/>
        </w:rPr>
        <w:t>以</w:t>
      </w:r>
      <w:r>
        <w:rPr>
          <w:rFonts w:hint="default"/>
          <w:lang w:val="en-US" w:eastAsia="zh-CN"/>
        </w:rPr>
        <w:t>服务于学生发展与教育管理。</w:t>
      </w:r>
    </w:p>
    <w:p w14:paraId="0D286216">
      <w:pPr>
        <w:pStyle w:val="4"/>
        <w:bidi w:val="0"/>
        <w:ind w:left="0" w:leftChars="0" w:firstLine="420" w:firstLineChars="0"/>
        <w:jc w:val="both"/>
        <w:rPr>
          <w:rFonts w:hint="default"/>
          <w:lang w:val="en-US" w:eastAsia="zh-CN"/>
        </w:rPr>
      </w:pPr>
      <w:r>
        <w:rPr>
          <w:rFonts w:hint="default"/>
          <w:lang w:val="en-US" w:eastAsia="zh-CN"/>
        </w:rPr>
        <w:t>1.2 现实问题</w:t>
      </w:r>
    </w:p>
    <w:p w14:paraId="4510F1A8">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当前高校学生管理与服务工作面临以下突出问题：</w:t>
      </w:r>
    </w:p>
    <w:p w14:paraId="4B75824D">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识别滞后问题：学业困难、心理危机等问题往往在发展至严重阶段后才被察觉，错失早期干预的窗口期。</w:t>
      </w:r>
    </w:p>
    <w:p w14:paraId="65C6F530">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经验依赖问题：对学生行为的判断和干预多依赖辅导员</w:t>
      </w:r>
      <w:r>
        <w:rPr>
          <w:rFonts w:hint="eastAsia"/>
          <w:lang w:val="en-US" w:eastAsia="zh-CN"/>
        </w:rPr>
        <w:t>的</w:t>
      </w:r>
      <w:r>
        <w:rPr>
          <w:rFonts w:hint="default"/>
          <w:lang w:val="en-US" w:eastAsia="zh-CN"/>
        </w:rPr>
        <w:t>主观经验，缺乏数据支撑</w:t>
      </w:r>
      <w:r>
        <w:rPr>
          <w:rFonts w:hint="eastAsia"/>
          <w:lang w:val="en-US" w:eastAsia="zh-CN"/>
        </w:rPr>
        <w:t>与</w:t>
      </w:r>
      <w:r>
        <w:rPr>
          <w:rFonts w:hint="default"/>
          <w:lang w:val="en-US" w:eastAsia="zh-CN"/>
        </w:rPr>
        <w:t>科学依据。</w:t>
      </w:r>
    </w:p>
    <w:p w14:paraId="1B48531C">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个体差异忽视问题：统一的管理策略难以适应不同类型学生的差异化需求，针对性不足。</w:t>
      </w:r>
    </w:p>
    <w:p w14:paraId="61820916">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发展指导缺失问题：学生缺乏对自身发展路径的清晰认知，难以</w:t>
      </w:r>
      <w:r>
        <w:rPr>
          <w:rFonts w:hint="eastAsia"/>
          <w:lang w:val="en-US" w:eastAsia="zh-CN"/>
        </w:rPr>
        <w:t>制定</w:t>
      </w:r>
      <w:r>
        <w:rPr>
          <w:rFonts w:hint="default"/>
          <w:lang w:val="en-US" w:eastAsia="zh-CN"/>
        </w:rPr>
        <w:t>合理的学业与职业规划。</w:t>
      </w:r>
    </w:p>
    <w:p w14:paraId="6A27E8BB">
      <w:pPr>
        <w:pStyle w:val="4"/>
        <w:bidi w:val="0"/>
        <w:ind w:left="0" w:leftChars="0" w:firstLine="420" w:firstLineChars="0"/>
        <w:jc w:val="both"/>
        <w:rPr>
          <w:rFonts w:hint="default"/>
          <w:lang w:val="en-US" w:eastAsia="zh-CN"/>
        </w:rPr>
      </w:pPr>
      <w:r>
        <w:rPr>
          <w:rFonts w:hint="default"/>
          <w:lang w:val="en-US" w:eastAsia="zh-CN"/>
        </w:rPr>
        <w:t>1.3 项目意义</w:t>
      </w:r>
    </w:p>
    <w:p w14:paraId="3915FE66">
      <w:pPr>
        <w:bidi w:val="0"/>
        <w:ind w:firstLine="419" w:firstLineChars="0"/>
        <w:rPr>
          <w:rFonts w:hint="default"/>
          <w:lang w:val="en-US" w:eastAsia="zh-CN"/>
        </w:rPr>
      </w:pPr>
      <w:r>
        <w:rPr>
          <w:rFonts w:hint="default"/>
          <w:lang w:val="en-US" w:eastAsia="zh-CN"/>
        </w:rPr>
        <w:t>本项目构建的</w:t>
      </w:r>
      <w:r>
        <w:rPr>
          <w:rFonts w:hint="eastAsia"/>
          <w:lang w:val="en-US" w:eastAsia="zh-CN"/>
        </w:rPr>
        <w:t>“观澜智析”大学生行为分析与干预</w:t>
      </w:r>
      <w:r>
        <w:rPr>
          <w:rFonts w:hint="default"/>
          <w:lang w:val="en-US" w:eastAsia="zh-CN"/>
        </w:rPr>
        <w:t>系统</w:t>
      </w:r>
      <w:r>
        <w:rPr>
          <w:rFonts w:hint="eastAsia"/>
          <w:lang w:val="en-US" w:eastAsia="zh-CN"/>
        </w:rPr>
        <w:t>（以下简称“观澜智析”系统）</w:t>
      </w:r>
      <w:r>
        <w:rPr>
          <w:rFonts w:hint="default"/>
          <w:lang w:val="en-US" w:eastAsia="zh-CN"/>
        </w:rPr>
        <w:t>，具有以下重要意义：</w:t>
      </w:r>
    </w:p>
    <w:p w14:paraId="0D164C9E">
      <w:pPr>
        <w:keepNext w:val="0"/>
        <w:keepLines w:val="0"/>
        <w:pageBreakBefore w:val="0"/>
        <w:widowControl w:val="0"/>
        <w:numPr>
          <w:ilvl w:val="0"/>
          <w:numId w:val="1"/>
        </w:numPr>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对学生而言：有助于学生客观认识自身行为模式与发展状况，获取个性化的学业预警与发展建议，实现自我认知的提升与成长路径的优化。</w:t>
      </w:r>
    </w:p>
    <w:p w14:paraId="176D74C4">
      <w:pPr>
        <w:keepNext w:val="0"/>
        <w:keepLines w:val="0"/>
        <w:pageBreakBefore w:val="0"/>
        <w:widowControl w:val="0"/>
        <w:numPr>
          <w:ilvl w:val="0"/>
          <w:numId w:val="1"/>
        </w:numPr>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对教师</w:t>
      </w:r>
      <w:r>
        <w:rPr>
          <w:rFonts w:hint="eastAsia"/>
          <w:lang w:val="en-US" w:eastAsia="zh-CN"/>
        </w:rPr>
        <w:t>而言</w:t>
      </w:r>
      <w:r>
        <w:rPr>
          <w:rFonts w:hint="default"/>
          <w:lang w:val="en-US" w:eastAsia="zh-CN"/>
        </w:rPr>
        <w:t>：为辅导员和任课教师提供数据驱动的学生洞察工具，精准识别需要关注的学生群体，</w:t>
      </w:r>
      <w:r>
        <w:rPr>
          <w:rFonts w:hint="eastAsia"/>
          <w:lang w:val="en-US" w:eastAsia="zh-CN"/>
        </w:rPr>
        <w:t>获取</w:t>
      </w:r>
      <w:r>
        <w:rPr>
          <w:rFonts w:hint="default"/>
          <w:lang w:val="en-US" w:eastAsia="zh-CN"/>
        </w:rPr>
        <w:t>科学的干预策略建议，提升育人工作的针对性</w:t>
      </w:r>
      <w:r>
        <w:rPr>
          <w:rFonts w:hint="eastAsia"/>
          <w:lang w:val="en-US" w:eastAsia="zh-CN"/>
        </w:rPr>
        <w:t>与</w:t>
      </w:r>
      <w:r>
        <w:rPr>
          <w:rFonts w:hint="default"/>
          <w:lang w:val="en-US" w:eastAsia="zh-CN"/>
        </w:rPr>
        <w:t>有效性。</w:t>
      </w:r>
    </w:p>
    <w:p w14:paraId="2CD3204C">
      <w:pPr>
        <w:keepNext w:val="0"/>
        <w:keepLines w:val="0"/>
        <w:pageBreakBefore w:val="0"/>
        <w:widowControl w:val="0"/>
        <w:numPr>
          <w:ilvl w:val="0"/>
          <w:numId w:val="1"/>
        </w:numPr>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对学术研究</w:t>
      </w:r>
      <w:r>
        <w:rPr>
          <w:rFonts w:hint="eastAsia"/>
          <w:lang w:val="en-US" w:eastAsia="zh-CN"/>
        </w:rPr>
        <w:t>而言</w:t>
      </w:r>
      <w:r>
        <w:rPr>
          <w:rFonts w:hint="default"/>
          <w:lang w:val="en-US" w:eastAsia="zh-CN"/>
        </w:rPr>
        <w:t>：探索多源数据融合的学生行为分析方法论，为教育数据挖掘领域提供可复用的技术方案与实践经验。</w:t>
      </w:r>
    </w:p>
    <w:p w14:paraId="09D811EA">
      <w:pPr>
        <w:pStyle w:val="3"/>
        <w:bidi w:val="0"/>
        <w:rPr>
          <w:rFonts w:hint="default"/>
          <w:lang w:val="en-US" w:eastAsia="zh-CN"/>
        </w:rPr>
      </w:pPr>
      <w:bookmarkStart w:id="2" w:name="_Toc27966"/>
      <w:r>
        <w:rPr>
          <w:rFonts w:hint="eastAsia"/>
          <w:lang w:val="en-US" w:eastAsia="zh-CN"/>
        </w:rPr>
        <w:t>二、应用对象与环境</w:t>
      </w:r>
      <w:bookmarkEnd w:id="2"/>
    </w:p>
    <w:p w14:paraId="5440A03C">
      <w:pPr>
        <w:pStyle w:val="4"/>
        <w:bidi w:val="0"/>
        <w:ind w:left="0" w:leftChars="0" w:firstLine="420" w:firstLineChars="0"/>
        <w:rPr>
          <w:rFonts w:hint="default"/>
          <w:lang w:val="en-US" w:eastAsia="zh-CN"/>
        </w:rPr>
      </w:pPr>
      <w:r>
        <w:rPr>
          <w:rFonts w:hint="eastAsia"/>
          <w:lang w:val="en-US" w:eastAsia="zh-CN"/>
        </w:rPr>
        <w:t>2.1 应用对象</w:t>
      </w:r>
    </w:p>
    <w:p w14:paraId="2619EB7C">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本系统的应用对象主要包括以下两类：</w:t>
      </w:r>
    </w:p>
    <w:p w14:paraId="411FF375">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在校大学生：学生可通过</w:t>
      </w:r>
      <w:r>
        <w:rPr>
          <w:rFonts w:hint="eastAsia"/>
          <w:lang w:val="en-US" w:eastAsia="zh-CN"/>
        </w:rPr>
        <w:t>观澜智析</w:t>
      </w:r>
      <w:r>
        <w:rPr>
          <w:rFonts w:hint="default"/>
          <w:lang w:val="en-US" w:eastAsia="zh-CN"/>
        </w:rPr>
        <w:t>系统了解自身的行为模式、学业状况和发展潜力，获取个性化的AI测评报告和毕业预测分析，从而更清晰地认识自己的优势与不足，做出更合理的学业规划和职业选择。</w:t>
      </w:r>
    </w:p>
    <w:p w14:paraId="36B1E5FA">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辅导员与任课教师：教师可通过</w:t>
      </w:r>
      <w:r>
        <w:rPr>
          <w:rFonts w:hint="eastAsia"/>
          <w:lang w:val="en-US" w:eastAsia="zh-CN"/>
        </w:rPr>
        <w:t>观澜智析</w:t>
      </w:r>
      <w:r>
        <w:rPr>
          <w:rFonts w:hint="default"/>
          <w:lang w:val="en-US" w:eastAsia="zh-CN"/>
        </w:rPr>
        <w:t>系统快速掌握所管理学生的整体情况，识别需要重点关注的风险学生，获取系统生成的干预建议和谈话策略，实现从经验型管理向数据驱动型管理的转变，提升育人工作的针对性和有效性。</w:t>
      </w:r>
    </w:p>
    <w:p w14:paraId="521E9CA7">
      <w:pPr>
        <w:pStyle w:val="4"/>
        <w:bidi w:val="0"/>
        <w:ind w:left="0" w:leftChars="0" w:firstLine="420" w:firstLineChars="0"/>
        <w:rPr>
          <w:rFonts w:hint="default"/>
          <w:lang w:val="en-US" w:eastAsia="zh-CN"/>
        </w:rPr>
      </w:pPr>
      <w:r>
        <w:rPr>
          <w:rFonts w:hint="default"/>
          <w:lang w:val="en-US" w:eastAsia="zh-CN"/>
        </w:rPr>
        <w:t xml:space="preserve">2.2 </w:t>
      </w:r>
      <w:r>
        <w:rPr>
          <w:rFonts w:hint="eastAsia"/>
          <w:lang w:val="en-US" w:eastAsia="zh-CN"/>
        </w:rPr>
        <w:t>应用环境</w:t>
      </w:r>
    </w:p>
    <w:p w14:paraId="02AD4271">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本系统的有效应用需要以下环境的支撑：</w:t>
      </w:r>
    </w:p>
    <w:p w14:paraId="5A255168">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高校数字化建设基础：系统依赖校内各业务系统的数据输出能力，包括教务系统、学工系统、一卡通平台、图书馆系统等。应用高校应具备一定的信息化建设基础，各业务系统能够提供标准化的数据接口或数据导出功能。</w:t>
      </w:r>
    </w:p>
    <w:p w14:paraId="28C30421">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数据治理与共享机制：系统需要整合来自多个部门的数据，因此应用高校应建立跨部门的数据治理机制，明确数据归属、共享权限和使用规范，打破“信息孤岛”，为多源数据融合提供制度保障。</w:t>
      </w:r>
    </w:p>
    <w:p w14:paraId="6B6F3FCE">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学生工作管理体系：系统的价值实现需要与现有的学生工作体系相结合。辅导员和任课教师应将系统输出的预警信息和干预建议纳入日常工作流程，形成“系统识别—教师干预—效果反馈”的闭环机制。</w:t>
      </w:r>
    </w:p>
    <w:p w14:paraId="10C3EC36">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数据安全与隐私保护：系统涉及学生的个人信息和行为数据，应用高校需建立完善的数据安全管理体系，包括数据访问权限控制、数据脱敏处理、操作日志审计等，确保学生隐私得到有效保护。</w:t>
      </w:r>
    </w:p>
    <w:p w14:paraId="1373A887">
      <w:pPr>
        <w:pStyle w:val="3"/>
        <w:bidi w:val="0"/>
        <w:rPr>
          <w:rFonts w:hint="default"/>
          <w:lang w:val="en-US" w:eastAsia="zh-CN"/>
        </w:rPr>
      </w:pPr>
      <w:bookmarkStart w:id="3" w:name="_Toc13997"/>
      <w:r>
        <w:rPr>
          <w:rFonts w:hint="eastAsia"/>
          <w:lang w:val="en-US" w:eastAsia="zh-CN"/>
        </w:rPr>
        <w:t>三、</w:t>
      </w:r>
      <w:r>
        <w:rPr>
          <w:rFonts w:hint="default"/>
          <w:lang w:val="en-US" w:eastAsia="zh-CN"/>
        </w:rPr>
        <w:t>技术架构</w:t>
      </w:r>
      <w:bookmarkEnd w:id="3"/>
    </w:p>
    <w:p w14:paraId="1A82603E">
      <w:pPr>
        <w:pStyle w:val="4"/>
        <w:bidi w:val="0"/>
        <w:ind w:left="0" w:leftChars="0" w:firstLine="420" w:firstLineChars="0"/>
        <w:jc w:val="both"/>
        <w:rPr>
          <w:rFonts w:hint="default"/>
          <w:lang w:val="en-US" w:eastAsia="zh-CN"/>
        </w:rPr>
      </w:pPr>
      <w:r>
        <w:rPr>
          <w:rFonts w:hint="default"/>
          <w:lang w:val="en-US" w:eastAsia="zh-CN"/>
        </w:rPr>
        <w:t>3.1 整体架构</w:t>
      </w:r>
    </w:p>
    <w:p w14:paraId="640CC490">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r>
        <w:rPr>
          <w:rFonts w:hint="default"/>
          <w:lang w:val="en-US" w:eastAsia="zh-CN"/>
        </w:rPr>
        <w:t>系统采用分层架构设计，自下而上</w:t>
      </w:r>
      <w:r>
        <w:rPr>
          <w:rFonts w:hint="eastAsia"/>
          <w:lang w:val="en-US" w:eastAsia="zh-CN"/>
        </w:rPr>
        <w:t>依次</w:t>
      </w:r>
      <w:r>
        <w:rPr>
          <w:rFonts w:hint="default"/>
          <w:lang w:val="en-US" w:eastAsia="zh-CN"/>
        </w:rPr>
        <w:t>分为数据层、处理层、分析层、应用层和展示层五个</w:t>
      </w:r>
      <w:r>
        <w:rPr>
          <w:rFonts w:hint="eastAsia"/>
          <w:lang w:val="en-US" w:eastAsia="zh-CN"/>
        </w:rPr>
        <w:t>层级</w:t>
      </w:r>
      <w:r>
        <w:rPr>
          <w:rFonts w:hint="default"/>
          <w:lang w:val="en-US" w:eastAsia="zh-CN"/>
        </w:rPr>
        <w:t>。</w:t>
      </w:r>
    </w:p>
    <w:p w14:paraId="16B6867B">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数据层：整合校内多源业务数据，</w:t>
      </w:r>
      <w:r>
        <w:rPr>
          <w:rFonts w:hint="eastAsia"/>
          <w:lang w:val="en-US" w:eastAsia="zh-CN"/>
        </w:rPr>
        <w:t>涵盖</w:t>
      </w:r>
      <w:r>
        <w:rPr>
          <w:rFonts w:hint="default"/>
          <w:lang w:val="en-US" w:eastAsia="zh-CN"/>
        </w:rPr>
        <w:t>学生基本信息、成绩记录、行为日志、综合素质等，</w:t>
      </w:r>
      <w:r>
        <w:rPr>
          <w:rFonts w:hint="eastAsia"/>
          <w:lang w:val="en-US" w:eastAsia="zh-CN"/>
        </w:rPr>
        <w:t>构建</w:t>
      </w:r>
      <w:r>
        <w:rPr>
          <w:rFonts w:hint="default"/>
          <w:lang w:val="en-US" w:eastAsia="zh-CN"/>
        </w:rPr>
        <w:t>统一的数据底座。</w:t>
      </w:r>
    </w:p>
    <w:p w14:paraId="7338FCCC">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处理层：对原始数据进行清洗、规范化、缺失</w:t>
      </w:r>
      <w:r>
        <w:rPr>
          <w:rFonts w:hint="eastAsia"/>
          <w:lang w:val="en-US" w:eastAsia="zh-CN"/>
        </w:rPr>
        <w:t>值</w:t>
      </w:r>
      <w:r>
        <w:rPr>
          <w:rFonts w:hint="default"/>
          <w:lang w:val="en-US" w:eastAsia="zh-CN"/>
        </w:rPr>
        <w:t>处理等预处理操作，构建标准化的数据表。</w:t>
      </w:r>
    </w:p>
    <w:p w14:paraId="558D13AA">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分析层：</w:t>
      </w:r>
      <w:r>
        <w:rPr>
          <w:rFonts w:hint="eastAsia"/>
          <w:lang w:val="en-US" w:eastAsia="zh-CN"/>
        </w:rPr>
        <w:t>开展</w:t>
      </w:r>
      <w:r>
        <w:rPr>
          <w:rFonts w:hint="default"/>
          <w:lang w:val="en-US" w:eastAsia="zh-CN"/>
        </w:rPr>
        <w:t>特征工程、聚类分析、预测建模等核心分析任务，产出学生画像、预警结果、发展预测等分析成果。</w:t>
      </w:r>
    </w:p>
    <w:p w14:paraId="2F89BEC2">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应用层：封装各类分析服务，包括画像服务、预警服务、预测服务、推荐服务等，</w:t>
      </w:r>
      <w:r>
        <w:rPr>
          <w:rFonts w:hint="eastAsia"/>
          <w:lang w:val="en-US" w:eastAsia="zh-CN"/>
        </w:rPr>
        <w:t>同时</w:t>
      </w:r>
      <w:r>
        <w:rPr>
          <w:rFonts w:hint="default"/>
          <w:lang w:val="en-US" w:eastAsia="zh-CN"/>
        </w:rPr>
        <w:t>为上层提供</w:t>
      </w:r>
      <w:r>
        <w:rPr>
          <w:rFonts w:hint="eastAsia"/>
          <w:lang w:val="en-US" w:eastAsia="zh-CN"/>
        </w:rPr>
        <w:t xml:space="preserve"> </w:t>
      </w:r>
      <w:r>
        <w:rPr>
          <w:rFonts w:hint="default"/>
          <w:lang w:val="en-US" w:eastAsia="zh-CN"/>
        </w:rPr>
        <w:t>API</w:t>
      </w:r>
      <w:r>
        <w:rPr>
          <w:rFonts w:hint="eastAsia"/>
          <w:lang w:val="en-US" w:eastAsia="zh-CN"/>
        </w:rPr>
        <w:t xml:space="preserve"> </w:t>
      </w:r>
      <w:r>
        <w:rPr>
          <w:rFonts w:hint="default"/>
          <w:lang w:val="en-US" w:eastAsia="zh-CN"/>
        </w:rPr>
        <w:t>接口</w:t>
      </w:r>
      <w:r>
        <w:rPr>
          <w:rFonts w:hint="eastAsia"/>
          <w:lang w:val="en-US" w:eastAsia="zh-CN"/>
        </w:rPr>
        <w:t>，用于接入大语言模型进行分析</w:t>
      </w:r>
      <w:r>
        <w:rPr>
          <w:rFonts w:hint="default"/>
          <w:lang w:val="en-US" w:eastAsia="zh-CN"/>
        </w:rPr>
        <w:t>。</w:t>
      </w:r>
    </w:p>
    <w:p w14:paraId="3D2051E3">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展示层：针对学生和教师两类用户角色提供 Web 界面，实现数据可视化、交互操作、报告生成等展示功能。</w:t>
      </w:r>
    </w:p>
    <w:p w14:paraId="4254EA39">
      <w:pPr>
        <w:pStyle w:val="4"/>
        <w:bidi w:val="0"/>
        <w:ind w:left="0" w:leftChars="0" w:firstLine="420" w:firstLineChars="0"/>
        <w:jc w:val="both"/>
        <w:rPr>
          <w:rFonts w:hint="eastAsia"/>
          <w:lang w:val="en-US" w:eastAsia="zh-CN"/>
        </w:rPr>
      </w:pPr>
      <w:r>
        <w:rPr>
          <w:rFonts w:hint="eastAsia"/>
          <w:lang w:val="en-US" w:eastAsia="zh-CN"/>
        </w:rPr>
        <w:t>3.2 项目工作流程</w:t>
      </w:r>
    </w:p>
    <w:p w14:paraId="64713954">
      <w:pPr>
        <w:pStyle w:val="10"/>
        <w:keepNext w:val="0"/>
        <w:keepLines w:val="0"/>
        <w:widowControl/>
        <w:suppressLineNumbers w:val="0"/>
        <w:ind w:firstLine="420" w:firstLineChars="0"/>
      </w:pPr>
      <w:r>
        <w:t>本项目以多源校园数据为基础，构建了一套“数据驱动 + 模型决策 + 应用反馈”的闭环工作流程，形成从数据</w:t>
      </w:r>
      <w:r>
        <w:rPr>
          <w:rFonts w:hint="eastAsia"/>
          <w:lang w:val="en-US" w:eastAsia="zh-CN"/>
        </w:rPr>
        <w:t>处理</w:t>
      </w:r>
      <w:r>
        <w:t>到决策支持的完整链路。</w:t>
      </w:r>
    </w:p>
    <w:p w14:paraId="7AB5B312">
      <w:pPr>
        <w:pStyle w:val="10"/>
        <w:keepNext w:val="0"/>
        <w:keepLines w:val="0"/>
        <w:widowControl/>
        <w:suppressLineNumbers w:val="0"/>
        <w:ind w:firstLine="420" w:firstLineChars="0"/>
        <w:jc w:val="center"/>
        <w:rPr>
          <w:rFonts w:hint="eastAsia" w:eastAsiaTheme="minorEastAsia"/>
          <w:lang w:eastAsia="zh-CN"/>
        </w:rPr>
      </w:pPr>
      <w:r>
        <w:drawing>
          <wp:inline distT="0" distB="0" distL="114300" distR="114300">
            <wp:extent cx="5398135" cy="4584700"/>
            <wp:effectExtent l="0" t="0" r="2540" b="635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6"/>
                    <a:stretch>
                      <a:fillRect/>
                    </a:stretch>
                  </pic:blipFill>
                  <pic:spPr>
                    <a:xfrm>
                      <a:off x="0" y="0"/>
                      <a:ext cx="5398135" cy="4584700"/>
                    </a:xfrm>
                    <a:prstGeom prst="rect">
                      <a:avLst/>
                    </a:prstGeom>
                    <a:noFill/>
                    <a:ln>
                      <a:noFill/>
                    </a:ln>
                  </pic:spPr>
                </pic:pic>
              </a:graphicData>
            </a:graphic>
          </wp:inline>
        </w:drawing>
      </w:r>
    </w:p>
    <w:p w14:paraId="40D5F138">
      <w:pPr>
        <w:pStyle w:val="10"/>
        <w:keepNext w:val="0"/>
        <w:keepLines w:val="0"/>
        <w:widowControl/>
        <w:suppressLineNumbers w:val="0"/>
        <w:ind w:firstLine="420" w:firstLineChars="0"/>
        <w:jc w:val="center"/>
        <w:rPr>
          <w:rFonts w:hint="eastAsia" w:ascii="黑体" w:hAnsi="黑体" w:eastAsia="黑体" w:cs="黑体"/>
          <w:lang w:val="en-US" w:eastAsia="zh-CN"/>
        </w:rPr>
      </w:pPr>
      <w:r>
        <w:rPr>
          <w:rFonts w:hint="eastAsia" w:ascii="黑体" w:hAnsi="黑体" w:eastAsia="黑体" w:cs="黑体"/>
          <w:lang w:val="en-US" w:eastAsia="zh-CN"/>
        </w:rPr>
        <w:t>图1 项目工作流程图</w:t>
      </w:r>
    </w:p>
    <w:p w14:paraId="0B0B8D39">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rPr>
      </w:pPr>
      <w:r>
        <w:rPr>
          <w:rFonts w:hint="eastAsia"/>
        </w:rPr>
        <w:t>在数据获取阶段，系统对接校内各类业务系统，整合学生基本信息、学业成绩、课堂行为、线上学习、综合测评及发展成果等多维数据，打破信息孤岛，构建统一的数据底座，为后续分析提供全面、连续的数据支撑。</w:t>
      </w:r>
      <w:r>
        <w:rPr>
          <w:rFonts w:hint="eastAsia"/>
          <w:lang w:val="en-US" w:eastAsia="zh-CN"/>
        </w:rPr>
        <w:t>（在本项目中使用赛题官方给出的数据集，之后本方案中提到的详细数据也均来自于此，之后不再做解释）</w:t>
      </w:r>
    </w:p>
    <w:p w14:paraId="59067EB9">
      <w:pPr>
        <w:pStyle w:val="10"/>
        <w:keepNext w:val="0"/>
        <w:keepLines w:val="0"/>
        <w:widowControl/>
        <w:suppressLineNumbers w:val="0"/>
        <w:ind w:firstLine="420" w:firstLineChars="0"/>
      </w:pPr>
      <w:r>
        <w:t>在数据处理与特征构建阶段，对原始数据进行清洗、规范化与融合处理，统一数据口径并构建以“学生—学期”为核心粒度的特征体系。在此基础上，通过特征工程方法对数据进行标准化处理与结构优化，使其既能够反映学生的当前状态，又能够刻画其历史变化趋势，为建模分析奠定基础。</w:t>
      </w:r>
    </w:p>
    <w:p w14:paraId="55B483C1">
      <w:pPr>
        <w:pStyle w:val="10"/>
        <w:keepNext w:val="0"/>
        <w:keepLines w:val="0"/>
        <w:widowControl/>
        <w:suppressLineNumbers w:val="0"/>
        <w:ind w:firstLine="420" w:firstLineChars="0"/>
      </w:pPr>
      <w:r>
        <w:t>在核心分析阶段，系统围绕学生成长全过程设计了三类关键模型：首先，通过两层软聚类方法构建学生分群画像，从多维度刻画学生行为模式，实现由“个体数据”向“群体认知”的转化；其次，基于时间序列特征构建学业风险预警模型，对学生未来学业表现进行预测，并以分级预警形式实现风险前置识别；最后，结合多学期数据构建学生发展预测模型，对毕业去向与发展倾向进行综合判断，并生成个性化发展建议，实现由“状态分析”向“未来决策”的延伸。</w:t>
      </w:r>
    </w:p>
    <w:p w14:paraId="1D5FC6D5">
      <w:pPr>
        <w:pStyle w:val="10"/>
        <w:keepNext w:val="0"/>
        <w:keepLines w:val="0"/>
        <w:widowControl/>
        <w:suppressLineNumbers w:val="0"/>
        <w:ind w:firstLine="420" w:firstLineChars="0"/>
      </w:pPr>
      <w:r>
        <w:t>在结果应用与系统输出阶段，系统将分析结果进行服务化封装，通过标准化 API 接口对外提供能力支撑，并在前端 Web 平台中进行可视化展示。针对学生与教师两类用户，分别提供个体画像展示、风险预警提示、发展预测分析及干预决策支持等功能，实现数据结果的直观呈现与交互使用。</w:t>
      </w:r>
    </w:p>
    <w:p w14:paraId="7FC05611">
      <w:pPr>
        <w:pStyle w:val="10"/>
        <w:keepNext w:val="0"/>
        <w:keepLines w:val="0"/>
        <w:widowControl/>
        <w:suppressLineNumbers w:val="0"/>
        <w:ind w:firstLine="420" w:firstLineChars="0"/>
      </w:pPr>
      <w:r>
        <w:t>此外，系统还强调“预测—解释—干预”的一体化设计，在输出预测结果的同时提供关键影响因素分析，增强模型的可解释性与应用可信度，从而有效支撑教师开展精准干预与学生进行自我优化。</w:t>
      </w:r>
    </w:p>
    <w:p w14:paraId="6A6CE769">
      <w:pPr>
        <w:pStyle w:val="10"/>
        <w:keepNext w:val="0"/>
        <w:keepLines w:val="0"/>
        <w:widowControl/>
        <w:suppressLineNumbers w:val="0"/>
        <w:ind w:firstLine="420" w:firstLineChars="0"/>
        <w:rPr>
          <w:rFonts w:hint="default"/>
          <w:lang w:val="en-US" w:eastAsia="zh-CN"/>
        </w:rPr>
      </w:pPr>
      <w:r>
        <w:t>综上，本项目构建了一个以数据为基础、以模型为核心、以应用为导向的智能分析流程，实现了学生行为从“数据记录”到“认知洞察”再到“决策支持”的转化，形成可持续迭代的智能化闭环体系。</w:t>
      </w:r>
    </w:p>
    <w:p w14:paraId="31533DD7">
      <w:pPr>
        <w:pStyle w:val="3"/>
        <w:numPr>
          <w:ilvl w:val="0"/>
          <w:numId w:val="2"/>
        </w:numPr>
        <w:bidi w:val="0"/>
        <w:ind w:left="0" w:leftChars="0" w:firstLine="0" w:firstLineChars="0"/>
        <w:rPr>
          <w:rFonts w:hint="eastAsia"/>
          <w:lang w:val="en-US" w:eastAsia="zh-CN"/>
        </w:rPr>
      </w:pPr>
      <w:r>
        <w:rPr>
          <w:rFonts w:hint="eastAsia"/>
          <w:lang w:val="en-US" w:eastAsia="zh-CN"/>
        </w:rPr>
        <w:t>数据处理与特征工程</w:t>
      </w:r>
    </w:p>
    <w:p w14:paraId="71A5DD35">
      <w:pPr>
        <w:rPr>
          <w:rFonts w:hint="eastAsia"/>
          <w:lang w:val="en-US" w:eastAsia="zh-CN"/>
        </w:rPr>
      </w:pPr>
      <w:r>
        <w:rPr>
          <w:rFonts w:hint="eastAsia"/>
          <w:lang w:val="en-US" w:eastAsia="zh-CN"/>
        </w:rPr>
        <w:t>本项目使用的数据来源较为庞杂，涵盖学生基本信息、成绩记录、行为日志、综合素质等多个维度。由于各系统的数据标准、存储格式和更新周期存在差异，原始数据中普遍存在字段缺失、异常值、格式不规范等问题。若直接使用原始数据进行建模分析，将影响结果的准确性和可靠性。</w:t>
      </w:r>
    </w:p>
    <w:p w14:paraId="28054509">
      <w:pPr>
        <w:rPr>
          <w:rFonts w:hint="eastAsia"/>
          <w:lang w:val="en-US" w:eastAsia="zh-CN"/>
        </w:rPr>
      </w:pPr>
      <w:r>
        <w:rPr>
          <w:rFonts w:hint="eastAsia"/>
          <w:lang w:val="en-US" w:eastAsia="zh-CN"/>
        </w:rPr>
        <w:t>数据处理是连接原始数据与有效分析的关键环节。本章与后续两章将详细解释如何对多源数据进行系统的清洗、整合与特征工程处理，以构建高质量、标准化的分析特征集，为后续的学生分群画像、学业风险预警和未来发展预测奠定坚实的数据基础。</w:t>
      </w:r>
    </w:p>
    <w:p w14:paraId="77CCB7B2">
      <w:pPr>
        <w:pStyle w:val="4"/>
        <w:bidi w:val="0"/>
        <w:rPr>
          <w:rFonts w:hint="default"/>
          <w:lang w:val="en-US" w:eastAsia="zh-CN"/>
        </w:rPr>
      </w:pPr>
      <w:r>
        <w:rPr>
          <w:rFonts w:hint="eastAsia"/>
          <w:lang w:val="en-US" w:eastAsia="zh-CN"/>
        </w:rPr>
        <w:t>4.1</w:t>
      </w:r>
      <w:r>
        <w:rPr>
          <w:rFonts w:hint="default"/>
          <w:lang w:val="en-US" w:eastAsia="zh-CN"/>
        </w:rPr>
        <w:t xml:space="preserve"> 数据来源</w:t>
      </w:r>
    </w:p>
    <w:p w14:paraId="31E8EF9D">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系统数据来源于校内多张业务表，涵盖三个数据目录：</w:t>
      </w:r>
    </w:p>
    <w:p w14:paraId="1CADBC14">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核心数据</w:t>
      </w:r>
      <w:r>
        <w:rPr>
          <w:rFonts w:hint="eastAsia"/>
          <w:lang w:val="en-US" w:eastAsia="zh-CN"/>
        </w:rPr>
        <w:t>包含</w:t>
      </w:r>
      <w:r>
        <w:rPr>
          <w:rFonts w:hint="default"/>
          <w:lang w:val="en-US" w:eastAsia="zh-CN"/>
        </w:rPr>
        <w:t>学生成绩、作业提交、签到记录、体能考核、学科竞赛、学籍异动、线上学习、学生基本信息。</w:t>
      </w:r>
    </w:p>
    <w:p w14:paraId="6580C6E9">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综合素质数据包括本科生综合测评、奖学金获奖、课堂任务参与、考勤汇总、跑步打卡、门禁记录、毕业去向。</w:t>
      </w:r>
    </w:p>
    <w:p w14:paraId="0B48D17A">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行为补充数据包括四六级成绩、讨论记录、上网统计、图书馆打卡、日常锻炼、体测数据、体育课</w:t>
      </w:r>
      <w:r>
        <w:rPr>
          <w:rFonts w:hint="eastAsia"/>
          <w:lang w:val="en-US" w:eastAsia="zh-CN"/>
        </w:rPr>
        <w:t>选修</w:t>
      </w:r>
      <w:r>
        <w:rPr>
          <w:rFonts w:hint="default"/>
          <w:lang w:val="en-US" w:eastAsia="zh-CN"/>
        </w:rPr>
        <w:t>、社团活动。</w:t>
      </w:r>
    </w:p>
    <w:p w14:paraId="424DC0CF">
      <w:pPr>
        <w:pStyle w:val="4"/>
        <w:bidi w:val="0"/>
        <w:rPr>
          <w:rFonts w:hint="default"/>
          <w:lang w:val="en-US" w:eastAsia="zh-CN"/>
        </w:rPr>
      </w:pPr>
      <w:bookmarkStart w:id="4" w:name="_Toc3049"/>
      <w:r>
        <w:rPr>
          <w:rFonts w:hint="eastAsia"/>
          <w:lang w:val="en-US" w:eastAsia="zh-CN"/>
        </w:rPr>
        <w:t>4.2 处理</w:t>
      </w:r>
      <w:r>
        <w:rPr>
          <w:rFonts w:hint="default"/>
          <w:lang w:val="en-US" w:eastAsia="zh-CN"/>
        </w:rPr>
        <w:t>流程</w:t>
      </w:r>
      <w:r>
        <w:rPr>
          <w:rFonts w:hint="eastAsia"/>
          <w:lang w:val="en-US" w:eastAsia="zh-CN"/>
        </w:rPr>
        <w:t>概述</w:t>
      </w:r>
    </w:p>
    <w:p w14:paraId="43E678B3">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default"/>
          <w:lang w:val="en-US" w:eastAsia="zh-CN"/>
        </w:rPr>
      </w:pPr>
      <w:r>
        <w:rPr>
          <w:rFonts w:hint="default"/>
          <w:lang w:val="en-US" w:eastAsia="zh-CN"/>
        </w:rPr>
        <w:t>系统</w:t>
      </w:r>
      <w:r>
        <w:rPr>
          <w:rFonts w:hint="eastAsia"/>
          <w:lang w:val="en-US" w:eastAsia="zh-CN"/>
        </w:rPr>
        <w:t>的</w:t>
      </w:r>
      <w:r>
        <w:rPr>
          <w:rFonts w:hint="default"/>
          <w:lang w:val="en-US" w:eastAsia="zh-CN"/>
        </w:rPr>
        <w:t>数据</w:t>
      </w:r>
      <w:r>
        <w:rPr>
          <w:rFonts w:hint="eastAsia"/>
          <w:lang w:val="en-US" w:eastAsia="zh-CN"/>
        </w:rPr>
        <w:t>处理</w:t>
      </w:r>
      <w:r>
        <w:rPr>
          <w:rFonts w:hint="default"/>
          <w:lang w:val="en-US" w:eastAsia="zh-CN"/>
        </w:rPr>
        <w:t>流程如下：</w:t>
      </w:r>
    </w:p>
    <w:p w14:paraId="2393D201">
      <w:pPr>
        <w:keepNext w:val="0"/>
        <w:keepLines w:val="0"/>
        <w:pageBreakBefore w:val="0"/>
        <w:widowControl w:val="0"/>
        <w:kinsoku/>
        <w:wordWrap/>
        <w:overflowPunct/>
        <w:topLinePunct w:val="0"/>
        <w:autoSpaceDE/>
        <w:autoSpaceDN/>
        <w:bidi w:val="0"/>
        <w:adjustRightInd/>
        <w:snapToGrid/>
        <w:ind w:left="480" w:leftChars="200"/>
        <w:jc w:val="both"/>
        <w:textAlignment w:val="auto"/>
        <w:rPr>
          <w:rFonts w:hint="default"/>
          <w:lang w:val="en-US" w:eastAsia="zh-CN"/>
        </w:rPr>
      </w:pPr>
      <w:r>
        <w:drawing>
          <wp:inline distT="0" distB="0" distL="114300" distR="114300">
            <wp:extent cx="5051425" cy="1471930"/>
            <wp:effectExtent l="0" t="0" r="3175"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051425" cy="1471930"/>
                    </a:xfrm>
                    <a:prstGeom prst="rect">
                      <a:avLst/>
                    </a:prstGeom>
                    <a:noFill/>
                    <a:ln>
                      <a:noFill/>
                    </a:ln>
                  </pic:spPr>
                </pic:pic>
              </a:graphicData>
            </a:graphic>
          </wp:inline>
        </w:drawing>
      </w:r>
    </w:p>
    <w:p w14:paraId="44582CA4">
      <w:pPr>
        <w:keepNext w:val="0"/>
        <w:keepLines w:val="0"/>
        <w:pageBreakBefore w:val="0"/>
        <w:widowControl w:val="0"/>
        <w:kinsoku/>
        <w:wordWrap/>
        <w:overflowPunct/>
        <w:topLinePunct w:val="0"/>
        <w:autoSpaceDE/>
        <w:autoSpaceDN/>
        <w:bidi w:val="0"/>
        <w:adjustRightInd/>
        <w:snapToGrid/>
        <w:ind w:left="480" w:leftChars="200"/>
        <w:jc w:val="center"/>
        <w:textAlignment w:val="auto"/>
        <w:rPr>
          <w:rFonts w:hint="eastAsia"/>
          <w:lang w:val="en-US" w:eastAsia="zh-CN"/>
        </w:rPr>
      </w:pPr>
      <w:r>
        <w:rPr>
          <w:rFonts w:hint="eastAsia"/>
          <w:lang w:val="en-US" w:eastAsia="zh-CN"/>
        </w:rPr>
        <w:t>图2 数据处理流程</w:t>
      </w:r>
    </w:p>
    <w:p w14:paraId="13475F0E">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第一步，对每张原始数据表进行独立清洗，包括缺失值处理、异常值剔除、格式规范、去重等操作，输出清洗后的标准数据表。</w:t>
      </w:r>
    </w:p>
    <w:p w14:paraId="336CFF27">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第</w:t>
      </w:r>
      <w:r>
        <w:rPr>
          <w:rFonts w:hint="eastAsia"/>
          <w:lang w:val="en-US" w:eastAsia="zh-CN"/>
        </w:rPr>
        <w:t>二</w:t>
      </w:r>
      <w:r>
        <w:rPr>
          <w:rFonts w:hint="default"/>
          <w:lang w:val="en-US" w:eastAsia="zh-CN"/>
        </w:rPr>
        <w:t>步，进行探索性数据分析，确定学期键口径，统计缺失率和分布形态，识别相关性和异常样本，构建学生</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学期粒度的特征草稿表。</w:t>
      </w:r>
    </w:p>
    <w:p w14:paraId="628F4BC2">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步，对特征进行预处理，包括缺失</w:t>
      </w:r>
      <w:r>
        <w:rPr>
          <w:rFonts w:hint="eastAsia"/>
          <w:lang w:val="en-US" w:eastAsia="zh-CN"/>
        </w:rPr>
        <w:t>值</w:t>
      </w:r>
      <w:r>
        <w:rPr>
          <w:rFonts w:hint="default"/>
          <w:lang w:val="en-US" w:eastAsia="zh-CN"/>
        </w:rPr>
        <w:t>填补、稳健缩放、低方差剔除、方差均衡、冗余删除、异常标注等，输出标准化特征表。</w:t>
      </w:r>
    </w:p>
    <w:p w14:paraId="2D741DEC">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eastAsia"/>
          <w:lang w:val="en-US" w:eastAsia="zh-CN"/>
        </w:rPr>
        <w:t>第四步，将处理好的数据交付到软聚类工作流程中，为后续学生画像做准备。</w:t>
      </w:r>
    </w:p>
    <w:p w14:paraId="0D7732E4">
      <w:pPr>
        <w:pStyle w:val="4"/>
        <w:bidi w:val="0"/>
        <w:rPr>
          <w:rFonts w:hint="default"/>
          <w:lang w:val="en-US" w:eastAsia="zh-CN"/>
        </w:rPr>
      </w:pPr>
      <w:r>
        <w:rPr>
          <w:rFonts w:hint="eastAsia"/>
          <w:lang w:val="en-US" w:eastAsia="zh-CN"/>
        </w:rPr>
        <w:t>4.3 数据清洗</w:t>
      </w:r>
      <w:bookmarkEnd w:id="4"/>
    </w:p>
    <w:p w14:paraId="4E361C1B">
      <w:pPr>
        <w:bidi w:val="0"/>
        <w:rPr>
          <w:rFonts w:hint="eastAsia"/>
          <w:lang w:eastAsia="zh-CN"/>
        </w:rPr>
      </w:pPr>
      <w:r>
        <w:rPr>
          <w:rFonts w:hint="eastAsia"/>
          <w:lang w:val="en-US" w:eastAsia="zh-CN"/>
        </w:rPr>
        <w:t>数据清洗是系统的首要步骤，对每张原始数据表进行独立清洗处理，以确保数据质量。各表均以学号（或账号）为主键，缺失主键的记录在各表清洗时统一删除，以下不再重复说明。</w:t>
      </w:r>
    </w:p>
    <w:p w14:paraId="7473BF26">
      <w:pPr>
        <w:numPr>
          <w:ilvl w:val="0"/>
          <w:numId w:val="3"/>
        </w:numPr>
        <w:bidi w:val="0"/>
        <w:ind w:left="420" w:leftChars="0" w:hanging="420" w:firstLineChars="0"/>
        <w:rPr>
          <w:rFonts w:hint="eastAsia"/>
          <w:b/>
          <w:bCs/>
          <w:lang w:val="en-US" w:eastAsia="zh-CN"/>
        </w:rPr>
      </w:pPr>
      <w:r>
        <w:rPr>
          <w:rFonts w:hint="eastAsia"/>
          <w:b/>
          <w:bCs/>
          <w:lang w:val="en-US" w:eastAsia="zh-CN"/>
        </w:rPr>
        <w:t>学生基本信息清洗</w:t>
      </w:r>
    </w:p>
    <w:p w14:paraId="655C0BCB">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对学生主表进行去重处理，保证学号的唯一性。政治面貌空白项采用众数进行填补。输出干净的学生主表，为后续各表按学号填补院系、专业信息提供依据。</w:t>
      </w:r>
    </w:p>
    <w:p w14:paraId="6B400E0A">
      <w:pPr>
        <w:numPr>
          <w:ilvl w:val="0"/>
          <w:numId w:val="3"/>
        </w:numPr>
        <w:bidi w:val="0"/>
        <w:ind w:left="420" w:leftChars="0" w:hanging="420" w:firstLineChars="0"/>
        <w:rPr>
          <w:rFonts w:hint="eastAsia"/>
          <w:b/>
          <w:bCs/>
          <w:lang w:val="en-US" w:eastAsia="zh-CN"/>
        </w:rPr>
      </w:pPr>
      <w:r>
        <w:rPr>
          <w:rFonts w:hint="eastAsia"/>
          <w:b/>
          <w:bCs/>
          <w:lang w:val="en-US" w:eastAsia="zh-CN"/>
        </w:rPr>
        <w:t>学生成绩清洗</w:t>
      </w:r>
    </w:p>
    <w:p w14:paraId="189A7D37">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对课程成绩进行范围校验，将其限制在 0 到 100 分之间；对实践成绩限制在 0 到 5 分之间。删除缺失学号或课程号的记录。对课程成绩与平时成绩同时为空或为负的记录予以删除。实践成绩为负数或空白时辅助字段予以保留，但不纳入核心分析范畴。</w:t>
      </w:r>
    </w:p>
    <w:p w14:paraId="1151B6CB">
      <w:pPr>
        <w:numPr>
          <w:ilvl w:val="0"/>
          <w:numId w:val="3"/>
        </w:numPr>
        <w:bidi w:val="0"/>
        <w:ind w:left="420" w:leftChars="0" w:hanging="420" w:firstLineChars="0"/>
        <w:rPr>
          <w:rFonts w:hint="eastAsia"/>
          <w:b/>
          <w:bCs/>
          <w:lang w:val="en-US" w:eastAsia="zh-CN"/>
        </w:rPr>
      </w:pPr>
      <w:r>
        <w:rPr>
          <w:rFonts w:hint="eastAsia"/>
          <w:b/>
          <w:bCs/>
          <w:lang w:val="en-US" w:eastAsia="zh-CN"/>
        </w:rPr>
        <w:t>学生选课信息清理</w:t>
      </w:r>
    </w:p>
    <w:p w14:paraId="1CB282EE">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课程类别先依据同一课程号的众数进行填补，若整门课程该字段均为空值，则采用默认值进行填补。将选课日期统一解析为标准日期格式。</w:t>
      </w:r>
    </w:p>
    <w:p w14:paraId="5E494F5A">
      <w:pPr>
        <w:numPr>
          <w:ilvl w:val="0"/>
          <w:numId w:val="3"/>
        </w:numPr>
        <w:bidi w:val="0"/>
        <w:ind w:left="420" w:leftChars="0" w:hanging="420" w:firstLineChars="0"/>
        <w:rPr>
          <w:rFonts w:hint="eastAsia"/>
          <w:b/>
          <w:bCs/>
          <w:lang w:val="en-US" w:eastAsia="zh-CN"/>
        </w:rPr>
      </w:pPr>
      <w:r>
        <w:rPr>
          <w:rFonts w:hint="eastAsia"/>
          <w:b/>
          <w:bCs/>
          <w:lang w:val="en-US" w:eastAsia="zh-CN"/>
        </w:rPr>
        <w:t>学生作业提交记录清理</w:t>
      </w:r>
    </w:p>
    <w:p w14:paraId="3C7157D0">
      <w:pPr>
        <w:bidi w:val="0"/>
        <w:rPr>
          <w:rFonts w:hint="eastAsia"/>
          <w:lang w:eastAsia="zh-CN"/>
        </w:rPr>
      </w:pPr>
      <w:r>
        <w:rPr>
          <w:rFonts w:hint="eastAsia"/>
          <w:lang w:val="en-US" w:eastAsia="zh-CN"/>
        </w:rPr>
        <w:t>清除分数大于满分的异常记录。增设“未批阅”标记字段，以便在后续计算平均分过程中排除未批阅记录。解析创建时间和作答时间，计算作答耗时，用于行为分析。</w:t>
      </w:r>
    </w:p>
    <w:p w14:paraId="199FE8D3">
      <w:pPr>
        <w:numPr>
          <w:ilvl w:val="0"/>
          <w:numId w:val="3"/>
        </w:numPr>
        <w:bidi w:val="0"/>
        <w:ind w:left="420" w:leftChars="0" w:hanging="420" w:firstLineChars="0"/>
        <w:rPr>
          <w:rFonts w:hint="eastAsia"/>
          <w:b/>
          <w:bCs/>
          <w:lang w:val="en-US" w:eastAsia="zh-CN"/>
        </w:rPr>
      </w:pPr>
      <w:r>
        <w:rPr>
          <w:rFonts w:hint="eastAsia"/>
          <w:b/>
          <w:bCs/>
          <w:lang w:val="en-US" w:eastAsia="zh-CN"/>
        </w:rPr>
        <w:t>学生签到记录清理</w:t>
      </w:r>
    </w:p>
    <w:p w14:paraId="0E492246">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将签到状态限定在合法区间内，角色仅允许为学生和教师。将签到时间戳解析为标准日期时间。对学院和专业名称中的空值进行统一处理，可利用学生基本信息表按学号进行填补。</w:t>
      </w:r>
    </w:p>
    <w:p w14:paraId="4EC1B726">
      <w:pPr>
        <w:numPr>
          <w:ilvl w:val="0"/>
          <w:numId w:val="3"/>
        </w:numPr>
        <w:bidi w:val="0"/>
        <w:ind w:left="420" w:leftChars="0" w:hanging="420" w:firstLineChars="0"/>
        <w:rPr>
          <w:rFonts w:hint="eastAsia"/>
          <w:b/>
          <w:bCs/>
          <w:lang w:val="en-US" w:eastAsia="zh-CN"/>
        </w:rPr>
      </w:pPr>
      <w:r>
        <w:rPr>
          <w:rFonts w:hint="eastAsia"/>
          <w:b/>
          <w:bCs/>
          <w:lang w:val="en-US" w:eastAsia="zh-CN"/>
        </w:rPr>
        <w:t>学生体能考核清理</w:t>
      </w:r>
    </w:p>
    <w:p w14:paraId="5CD9F3F9">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对身高、体重等成绩进行范围校验，超出范围则视为异常并予以删除。其他字段原样保留，以供后续按学期和班级进行体质分析。</w:t>
      </w:r>
    </w:p>
    <w:p w14:paraId="00B1FDA5">
      <w:pPr>
        <w:numPr>
          <w:ilvl w:val="0"/>
          <w:numId w:val="3"/>
        </w:numPr>
        <w:bidi w:val="0"/>
        <w:ind w:left="420" w:leftChars="0" w:hanging="420" w:firstLineChars="0"/>
        <w:rPr>
          <w:rFonts w:hint="eastAsia"/>
          <w:b/>
          <w:bCs/>
          <w:lang w:val="en-US" w:eastAsia="zh-CN"/>
        </w:rPr>
      </w:pPr>
      <w:r>
        <w:rPr>
          <w:rFonts w:hint="eastAsia"/>
          <w:b/>
          <w:bCs/>
          <w:lang w:val="en-US" w:eastAsia="zh-CN"/>
        </w:rPr>
        <w:t>学科竞赛清理</w:t>
      </w:r>
    </w:p>
    <w:p w14:paraId="28990C84">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删除缺失学号的记录，删除学院字段中明显错误的值。对获奖时间进行规范化处理，若仅有年份信息，则解析为当年1月1日。将年级统一为“XXXX级”格式，去除专业名称中的HTML空格字符。</w:t>
      </w:r>
    </w:p>
    <w:p w14:paraId="139E882D">
      <w:pPr>
        <w:numPr>
          <w:ilvl w:val="0"/>
          <w:numId w:val="3"/>
        </w:numPr>
        <w:bidi w:val="0"/>
        <w:ind w:left="420" w:leftChars="0" w:hanging="420" w:firstLineChars="0"/>
        <w:rPr>
          <w:rFonts w:hint="eastAsia"/>
          <w:b/>
          <w:bCs/>
          <w:lang w:val="en-US" w:eastAsia="zh-CN"/>
        </w:rPr>
      </w:pPr>
      <w:r>
        <w:rPr>
          <w:rFonts w:hint="eastAsia"/>
          <w:b/>
          <w:bCs/>
          <w:lang w:val="en-US" w:eastAsia="zh-CN"/>
        </w:rPr>
        <w:t>学籍异动清理</w:t>
      </w:r>
    </w:p>
    <w:p w14:paraId="5E6EE013">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r>
        <w:rPr>
          <w:rFonts w:hint="eastAsia"/>
          <w:lang w:val="en-US" w:eastAsia="zh-CN"/>
        </w:rPr>
        <w:t>删除缺失学号的记录，对异动类别代码和异动原因代码进行合法性检查，仅保留给定范围内的代码。将审批日期和生效日期解析为标准日期。</w:t>
      </w:r>
    </w:p>
    <w:p w14:paraId="5B428316">
      <w:pPr>
        <w:numPr>
          <w:ilvl w:val="0"/>
          <w:numId w:val="3"/>
        </w:numPr>
        <w:bidi w:val="0"/>
        <w:ind w:left="420" w:leftChars="0" w:hanging="420" w:firstLineChars="0"/>
        <w:rPr>
          <w:rFonts w:hint="eastAsia"/>
          <w:b/>
          <w:bCs/>
          <w:lang w:val="en-US" w:eastAsia="zh-CN"/>
        </w:rPr>
      </w:pPr>
      <w:r>
        <w:rPr>
          <w:rFonts w:hint="eastAsia"/>
          <w:b/>
          <w:bCs/>
          <w:lang w:val="en-US" w:eastAsia="zh-CN"/>
        </w:rPr>
        <w:t>线上学习综合表现清理</w:t>
      </w:r>
    </w:p>
    <w:p w14:paraId="07774FBB">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删除缺失账号的记录，对综合表现分数进行范围校验，角色仅允许为学生、教师和管理员。院系、专业、班级字段原样保留，用于画像分析。</w:t>
      </w:r>
    </w:p>
    <w:p w14:paraId="07AB9BB0">
      <w:pPr>
        <w:numPr>
          <w:ilvl w:val="0"/>
          <w:numId w:val="3"/>
        </w:numPr>
        <w:bidi w:val="0"/>
        <w:ind w:left="420" w:leftChars="0" w:hanging="420" w:firstLineChars="0"/>
        <w:rPr>
          <w:rFonts w:hint="eastAsia"/>
          <w:b/>
          <w:bCs/>
          <w:lang w:val="en-US" w:eastAsia="zh-CN"/>
        </w:rPr>
      </w:pPr>
      <w:r>
        <w:rPr>
          <w:rFonts w:hint="eastAsia"/>
          <w:b/>
          <w:bCs/>
          <w:lang w:val="en-US" w:eastAsia="zh-CN"/>
        </w:rPr>
        <w:t>清理后数据规模</w:t>
      </w:r>
    </w:p>
    <w:p w14:paraId="5828C72F">
      <w:pPr>
        <w:keepNext w:val="0"/>
        <w:keepLines w:val="0"/>
        <w:pageBreakBefore w:val="0"/>
        <w:widowControl w:val="0"/>
        <w:numPr>
          <w:numId w:val="0"/>
        </w:numPr>
        <w:kinsoku/>
        <w:wordWrap/>
        <w:overflowPunct/>
        <w:topLinePunct w:val="0"/>
        <w:autoSpaceDE/>
        <w:autoSpaceDN/>
        <w:bidi w:val="0"/>
        <w:adjustRightInd/>
        <w:snapToGrid/>
        <w:ind w:left="840" w:leftChars="0"/>
        <w:textAlignment w:val="auto"/>
        <w:rPr>
          <w:rFonts w:hint="eastAsia"/>
          <w:lang w:val="en-US" w:eastAsia="zh-CN"/>
        </w:rPr>
      </w:pPr>
      <w:r>
        <w:rPr>
          <w:rFonts w:hint="eastAsia"/>
          <w:lang w:val="en-US" w:eastAsia="zh-CN"/>
        </w:rPr>
        <w:t>各表清理后的数据量如下表：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39"/>
        <w:gridCol w:w="3140"/>
      </w:tblGrid>
      <w:tr w14:paraId="173C0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0" w:hRule="atLeast"/>
          <w:jc w:val="center"/>
        </w:trPr>
        <w:tc>
          <w:tcPr>
            <w:tcW w:w="3139" w:type="dxa"/>
            <w:vAlign w:val="top"/>
          </w:tcPr>
          <w:p w14:paraId="036334A9">
            <w:pPr>
              <w:keepNext w:val="0"/>
              <w:keepLines w:val="0"/>
              <w:pageBreakBefore w:val="0"/>
              <w:widowControl w:val="0"/>
              <w:numPr>
                <w:numId w:val="0"/>
              </w:numPr>
              <w:tabs>
                <w:tab w:val="left" w:pos="1602"/>
              </w:tabs>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lang w:val="en-US" w:eastAsia="zh-CN"/>
              </w:rPr>
              <w:t>数据表</w:t>
            </w:r>
          </w:p>
        </w:tc>
        <w:tc>
          <w:tcPr>
            <w:tcW w:w="3140" w:type="dxa"/>
            <w:vAlign w:val="top"/>
          </w:tcPr>
          <w:p w14:paraId="32058605">
            <w:pPr>
              <w:keepNext w:val="0"/>
              <w:keepLines w:val="0"/>
              <w:pageBreakBefore w:val="0"/>
              <w:widowControl w:val="0"/>
              <w:numPr>
                <w:numId w:val="0"/>
              </w:numPr>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数据量</w:t>
            </w:r>
          </w:p>
        </w:tc>
      </w:tr>
      <w:tr w14:paraId="2B0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0" w:hRule="atLeast"/>
          <w:jc w:val="center"/>
        </w:trPr>
        <w:tc>
          <w:tcPr>
            <w:tcW w:w="3139" w:type="dxa"/>
            <w:vAlign w:val="top"/>
          </w:tcPr>
          <w:p w14:paraId="57EA4637">
            <w:pPr>
              <w:keepNext w:val="0"/>
              <w:keepLines w:val="0"/>
              <w:pageBreakBefore w:val="0"/>
              <w:widowControl w:val="0"/>
              <w:numPr>
                <w:numId w:val="0"/>
              </w:numPr>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lang w:val="en-US" w:eastAsia="zh-CN"/>
              </w:rPr>
              <w:t>学生基本信息</w:t>
            </w:r>
          </w:p>
        </w:tc>
        <w:tc>
          <w:tcPr>
            <w:tcW w:w="3140" w:type="dxa"/>
            <w:shd w:val="clear"/>
            <w:vAlign w:val="top"/>
          </w:tcPr>
          <w:p w14:paraId="6C08E95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eastAsia="楷体" w:asciiTheme="minorAscii" w:hAnsiTheme="minorAscii" w:cstheme="minorBidi"/>
                <w:kern w:val="2"/>
                <w:sz w:val="24"/>
                <w:szCs w:val="24"/>
                <w:vertAlign w:val="baseline"/>
                <w:lang w:val="en-US" w:eastAsia="zh-CN" w:bidi="ar-SA"/>
              </w:rPr>
            </w:pPr>
            <w:r>
              <w:rPr>
                <w:rFonts w:hint="eastAsia"/>
                <w:lang w:val="en-US" w:eastAsia="zh-CN"/>
              </w:rPr>
              <w:t>2500</w:t>
            </w:r>
          </w:p>
        </w:tc>
      </w:tr>
      <w:tr w14:paraId="7751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0" w:hRule="atLeast"/>
          <w:jc w:val="center"/>
        </w:trPr>
        <w:tc>
          <w:tcPr>
            <w:tcW w:w="3139" w:type="dxa"/>
            <w:vAlign w:val="top"/>
          </w:tcPr>
          <w:p w14:paraId="4307B214">
            <w:pPr>
              <w:keepNext w:val="0"/>
              <w:keepLines w:val="0"/>
              <w:pageBreakBefore w:val="0"/>
              <w:widowControl w:val="0"/>
              <w:numPr>
                <w:numId w:val="0"/>
              </w:numPr>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lang w:val="en-US" w:eastAsia="zh-CN"/>
              </w:rPr>
              <w:t>学生成绩</w:t>
            </w:r>
          </w:p>
        </w:tc>
        <w:tc>
          <w:tcPr>
            <w:tcW w:w="3140" w:type="dxa"/>
            <w:shd w:val="clear"/>
            <w:vAlign w:val="top"/>
          </w:tcPr>
          <w:p w14:paraId="6C1AD2F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eastAsia="楷体" w:asciiTheme="minorAscii" w:hAnsiTheme="minorAscii" w:cstheme="minorBidi"/>
                <w:kern w:val="2"/>
                <w:sz w:val="24"/>
                <w:szCs w:val="24"/>
                <w:vertAlign w:val="baseline"/>
                <w:lang w:val="en-US" w:eastAsia="zh-CN" w:bidi="ar-SA"/>
              </w:rPr>
            </w:pPr>
            <w:r>
              <w:rPr>
                <w:rFonts w:hint="eastAsia"/>
                <w:vertAlign w:val="baseline"/>
                <w:lang w:val="en-US" w:eastAsia="zh-CN"/>
              </w:rPr>
              <w:t>240000</w:t>
            </w:r>
          </w:p>
        </w:tc>
      </w:tr>
      <w:tr w14:paraId="6C73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0" w:hRule="atLeast"/>
          <w:jc w:val="center"/>
        </w:trPr>
        <w:tc>
          <w:tcPr>
            <w:tcW w:w="3139" w:type="dxa"/>
            <w:vAlign w:val="top"/>
          </w:tcPr>
          <w:p w14:paraId="1E0651D9">
            <w:pPr>
              <w:keepNext w:val="0"/>
              <w:keepLines w:val="0"/>
              <w:pageBreakBefore w:val="0"/>
              <w:widowControl w:val="0"/>
              <w:numPr>
                <w:numId w:val="0"/>
              </w:numPr>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lang w:val="en-US" w:eastAsia="zh-CN"/>
              </w:rPr>
              <w:t>学生选课信息</w:t>
            </w:r>
          </w:p>
        </w:tc>
        <w:tc>
          <w:tcPr>
            <w:tcW w:w="3140" w:type="dxa"/>
            <w:shd w:val="clear"/>
            <w:vAlign w:val="top"/>
          </w:tcPr>
          <w:p w14:paraId="00A0EA0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eastAsia="楷体" w:asciiTheme="minorAscii" w:hAnsiTheme="minorAscii" w:cstheme="minorBidi"/>
                <w:kern w:val="2"/>
                <w:sz w:val="24"/>
                <w:szCs w:val="24"/>
                <w:vertAlign w:val="baseline"/>
                <w:lang w:val="en-US" w:eastAsia="zh-CN" w:bidi="ar-SA"/>
              </w:rPr>
            </w:pPr>
            <w:r>
              <w:rPr>
                <w:rFonts w:hint="eastAsia"/>
                <w:vertAlign w:val="baseline"/>
                <w:lang w:val="en-US" w:eastAsia="zh-CN"/>
              </w:rPr>
              <w:t>275000</w:t>
            </w:r>
          </w:p>
        </w:tc>
      </w:tr>
      <w:tr w14:paraId="06AC9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0" w:hRule="atLeast"/>
          <w:jc w:val="center"/>
        </w:trPr>
        <w:tc>
          <w:tcPr>
            <w:tcW w:w="3139" w:type="dxa"/>
            <w:vAlign w:val="top"/>
          </w:tcPr>
          <w:p w14:paraId="5C89B82A">
            <w:pPr>
              <w:keepNext w:val="0"/>
              <w:keepLines w:val="0"/>
              <w:pageBreakBefore w:val="0"/>
              <w:widowControl w:val="0"/>
              <w:numPr>
                <w:numId w:val="0"/>
              </w:numPr>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lang w:val="en-US" w:eastAsia="zh-CN"/>
              </w:rPr>
              <w:t>学生作业提交</w:t>
            </w:r>
          </w:p>
        </w:tc>
        <w:tc>
          <w:tcPr>
            <w:tcW w:w="3140" w:type="dxa"/>
            <w:shd w:val="clear"/>
            <w:vAlign w:val="top"/>
          </w:tcPr>
          <w:p w14:paraId="66780E1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eastAsia="楷体" w:asciiTheme="minorAscii" w:hAnsiTheme="minorAscii" w:cstheme="minorBidi"/>
                <w:kern w:val="2"/>
                <w:sz w:val="24"/>
                <w:szCs w:val="24"/>
                <w:vertAlign w:val="baseline"/>
                <w:lang w:val="en-US" w:eastAsia="zh-CN" w:bidi="ar-SA"/>
              </w:rPr>
            </w:pPr>
            <w:r>
              <w:rPr>
                <w:rFonts w:hint="eastAsia"/>
                <w:vertAlign w:val="baseline"/>
                <w:lang w:val="en-US" w:eastAsia="zh-CN"/>
              </w:rPr>
              <w:t>50000</w:t>
            </w:r>
          </w:p>
        </w:tc>
      </w:tr>
      <w:tr w14:paraId="7975B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0" w:hRule="atLeast"/>
          <w:jc w:val="center"/>
        </w:trPr>
        <w:tc>
          <w:tcPr>
            <w:tcW w:w="3139" w:type="dxa"/>
            <w:vAlign w:val="top"/>
          </w:tcPr>
          <w:p w14:paraId="4B7C893F">
            <w:pPr>
              <w:keepNext w:val="0"/>
              <w:keepLines w:val="0"/>
              <w:pageBreakBefore w:val="0"/>
              <w:widowControl w:val="0"/>
              <w:numPr>
                <w:numId w:val="0"/>
              </w:numPr>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lang w:val="en-US" w:eastAsia="zh-CN"/>
              </w:rPr>
              <w:t>学生签到记录</w:t>
            </w:r>
          </w:p>
        </w:tc>
        <w:tc>
          <w:tcPr>
            <w:tcW w:w="3140" w:type="dxa"/>
            <w:shd w:val="clear"/>
            <w:vAlign w:val="top"/>
          </w:tcPr>
          <w:p w14:paraId="52E6323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eastAsia="楷体" w:asciiTheme="minorAscii" w:hAnsiTheme="minorAscii" w:cstheme="minorBidi"/>
                <w:kern w:val="2"/>
                <w:sz w:val="24"/>
                <w:szCs w:val="24"/>
                <w:vertAlign w:val="baseline"/>
                <w:lang w:val="en-US" w:eastAsia="zh-CN" w:bidi="ar-SA"/>
              </w:rPr>
            </w:pPr>
            <w:r>
              <w:rPr>
                <w:rFonts w:hint="eastAsia"/>
                <w:vertAlign w:val="baseline"/>
                <w:lang w:val="en-US" w:eastAsia="zh-CN"/>
              </w:rPr>
              <w:t>750000</w:t>
            </w:r>
          </w:p>
        </w:tc>
      </w:tr>
      <w:tr w14:paraId="18028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0" w:hRule="atLeast"/>
          <w:jc w:val="center"/>
        </w:trPr>
        <w:tc>
          <w:tcPr>
            <w:tcW w:w="3139" w:type="dxa"/>
            <w:vAlign w:val="top"/>
          </w:tcPr>
          <w:p w14:paraId="28237B16">
            <w:pPr>
              <w:keepNext w:val="0"/>
              <w:keepLines w:val="0"/>
              <w:pageBreakBefore w:val="0"/>
              <w:widowControl w:val="0"/>
              <w:numPr>
                <w:numId w:val="0"/>
              </w:numPr>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lang w:val="en-US" w:eastAsia="zh-CN"/>
              </w:rPr>
              <w:t>学生体能考核</w:t>
            </w:r>
          </w:p>
        </w:tc>
        <w:tc>
          <w:tcPr>
            <w:tcW w:w="3140" w:type="dxa"/>
            <w:shd w:val="clear"/>
            <w:vAlign w:val="top"/>
          </w:tcPr>
          <w:p w14:paraId="186D9BB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eastAsia="楷体" w:asciiTheme="minorAscii" w:hAnsiTheme="minorAscii" w:cstheme="minorBidi"/>
                <w:kern w:val="2"/>
                <w:sz w:val="24"/>
                <w:szCs w:val="24"/>
                <w:vertAlign w:val="baseline"/>
                <w:lang w:val="en-US" w:eastAsia="zh-CN" w:bidi="ar-SA"/>
              </w:rPr>
            </w:pPr>
            <w:r>
              <w:rPr>
                <w:rFonts w:hint="eastAsia"/>
                <w:vertAlign w:val="baseline"/>
                <w:lang w:val="en-US" w:eastAsia="zh-CN"/>
              </w:rPr>
              <w:t>4856</w:t>
            </w:r>
          </w:p>
        </w:tc>
      </w:tr>
      <w:tr w14:paraId="496FC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0" w:hRule="atLeast"/>
          <w:jc w:val="center"/>
        </w:trPr>
        <w:tc>
          <w:tcPr>
            <w:tcW w:w="3139" w:type="dxa"/>
            <w:vAlign w:val="top"/>
          </w:tcPr>
          <w:p w14:paraId="4B39625C">
            <w:pPr>
              <w:keepNext w:val="0"/>
              <w:keepLines w:val="0"/>
              <w:pageBreakBefore w:val="0"/>
              <w:widowControl w:val="0"/>
              <w:numPr>
                <w:numId w:val="0"/>
              </w:numPr>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lang w:val="en-US" w:eastAsia="zh-CN"/>
              </w:rPr>
              <w:t>学科竞赛</w:t>
            </w:r>
          </w:p>
        </w:tc>
        <w:tc>
          <w:tcPr>
            <w:tcW w:w="3140" w:type="dxa"/>
            <w:shd w:val="clear"/>
            <w:vAlign w:val="top"/>
          </w:tcPr>
          <w:p w14:paraId="3474BA4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eastAsia="楷体" w:asciiTheme="minorAscii" w:hAnsiTheme="minorAscii" w:cstheme="minorBidi"/>
                <w:kern w:val="2"/>
                <w:sz w:val="24"/>
                <w:szCs w:val="24"/>
                <w:vertAlign w:val="baseline"/>
                <w:lang w:val="en-US" w:eastAsia="zh-CN" w:bidi="ar-SA"/>
              </w:rPr>
            </w:pPr>
            <w:r>
              <w:rPr>
                <w:rFonts w:hint="eastAsia"/>
                <w:vertAlign w:val="baseline"/>
                <w:lang w:val="en-US" w:eastAsia="zh-CN"/>
              </w:rPr>
              <w:t>2033</w:t>
            </w:r>
          </w:p>
        </w:tc>
      </w:tr>
      <w:tr w14:paraId="4723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0" w:hRule="atLeast"/>
          <w:jc w:val="center"/>
        </w:trPr>
        <w:tc>
          <w:tcPr>
            <w:tcW w:w="3139" w:type="dxa"/>
            <w:vAlign w:val="top"/>
          </w:tcPr>
          <w:p w14:paraId="15853DAB">
            <w:pPr>
              <w:keepNext w:val="0"/>
              <w:keepLines w:val="0"/>
              <w:pageBreakBefore w:val="0"/>
              <w:widowControl w:val="0"/>
              <w:numPr>
                <w:numId w:val="0"/>
              </w:numPr>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lang w:val="en-US" w:eastAsia="zh-CN"/>
              </w:rPr>
              <w:t>学籍异动</w:t>
            </w:r>
          </w:p>
        </w:tc>
        <w:tc>
          <w:tcPr>
            <w:tcW w:w="3140" w:type="dxa"/>
            <w:shd w:val="clear"/>
            <w:vAlign w:val="top"/>
          </w:tcPr>
          <w:p w14:paraId="71EB5B1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eastAsia" w:eastAsia="楷体" w:asciiTheme="minorAscii" w:hAnsiTheme="minorAscii" w:cstheme="minorBidi"/>
                <w:kern w:val="2"/>
                <w:sz w:val="24"/>
                <w:szCs w:val="24"/>
                <w:vertAlign w:val="baseline"/>
                <w:lang w:val="en-US" w:eastAsia="zh-CN" w:bidi="ar-SA"/>
              </w:rPr>
            </w:pPr>
            <w:r>
              <w:rPr>
                <w:rFonts w:hint="eastAsia"/>
                <w:vertAlign w:val="baseline"/>
                <w:lang w:val="en-US" w:eastAsia="zh-CN"/>
              </w:rPr>
              <w:t>2551</w:t>
            </w:r>
          </w:p>
        </w:tc>
      </w:tr>
      <w:tr w14:paraId="4EBBD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9" w:hRule="atLeast"/>
          <w:jc w:val="center"/>
        </w:trPr>
        <w:tc>
          <w:tcPr>
            <w:tcW w:w="3139" w:type="dxa"/>
            <w:vAlign w:val="top"/>
          </w:tcPr>
          <w:p w14:paraId="0C4C97D5">
            <w:pPr>
              <w:keepNext w:val="0"/>
              <w:keepLines w:val="0"/>
              <w:pageBreakBefore w:val="0"/>
              <w:widowControl w:val="0"/>
              <w:numPr>
                <w:numId w:val="0"/>
              </w:numPr>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t>线上学习</w:t>
            </w:r>
          </w:p>
        </w:tc>
        <w:tc>
          <w:tcPr>
            <w:tcW w:w="3140" w:type="dxa"/>
            <w:vAlign w:val="top"/>
          </w:tcPr>
          <w:p w14:paraId="035898A2">
            <w:pPr>
              <w:keepNext w:val="0"/>
              <w:keepLines w:val="0"/>
              <w:pageBreakBefore w:val="0"/>
              <w:widowControl w:val="0"/>
              <w:numPr>
                <w:numId w:val="0"/>
              </w:numPr>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2498</w:t>
            </w:r>
          </w:p>
        </w:tc>
      </w:tr>
    </w:tbl>
    <w:p w14:paraId="04D2839F">
      <w:pPr>
        <w:pStyle w:val="6"/>
        <w:jc w:val="center"/>
      </w:pPr>
      <w:r>
        <w:t xml:space="preserve">表 </w:t>
      </w:r>
      <w:r>
        <w:fldChar w:fldCharType="begin"/>
      </w:r>
      <w:r>
        <w:instrText xml:space="preserve"> SEQ 表 \* ARABIC </w:instrText>
      </w:r>
      <w:r>
        <w:fldChar w:fldCharType="separate"/>
      </w:r>
      <w:r>
        <w:t>1</w:t>
      </w:r>
      <w:r>
        <w:fldChar w:fldCharType="end"/>
      </w:r>
    </w:p>
    <w:p w14:paraId="2EAB7CD5">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lang w:val="en-US" w:eastAsia="zh-CN"/>
        </w:rPr>
      </w:pPr>
    </w:p>
    <w:p w14:paraId="53C47431">
      <w:pPr>
        <w:pStyle w:val="4"/>
        <w:bidi w:val="0"/>
        <w:rPr>
          <w:rFonts w:hint="eastAsia"/>
          <w:lang w:val="en-US" w:eastAsia="zh-CN"/>
        </w:rPr>
      </w:pPr>
      <w:bookmarkStart w:id="5" w:name="_Toc17670"/>
      <w:r>
        <w:rPr>
          <w:rFonts w:hint="eastAsia"/>
          <w:lang w:val="en-US" w:eastAsia="zh-CN"/>
        </w:rPr>
        <w:t>4.4探索性数据分析</w:t>
      </w:r>
      <w:bookmarkEnd w:id="5"/>
    </w:p>
    <w:p w14:paraId="282C18B3">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r>
        <w:rPr>
          <w:rFonts w:hint="eastAsia"/>
          <w:lang w:val="en-US" w:eastAsia="zh-CN"/>
        </w:rPr>
        <w:t>探索性数据分析的目标在于为后续的聚类分析和预测建模提供数据基础。</w:t>
      </w:r>
    </w:p>
    <w:p w14:paraId="1043C4D6">
      <w:pPr>
        <w:keepNext w:val="0"/>
        <w:keepLines w:val="0"/>
        <w:pageBreakBefore w:val="0"/>
        <w:widowControl w:val="0"/>
        <w:kinsoku/>
        <w:wordWrap/>
        <w:overflowPunct/>
        <w:topLinePunct w:val="0"/>
        <w:autoSpaceDE/>
        <w:autoSpaceDN/>
        <w:bidi w:val="0"/>
        <w:adjustRightInd/>
        <w:snapToGrid/>
        <w:ind w:left="480" w:leftChars="200"/>
        <w:jc w:val="center"/>
        <w:textAlignment w:val="auto"/>
        <w:rPr>
          <w:rFonts w:hint="eastAsia"/>
          <w:lang w:val="en-US" w:eastAsia="zh-CN"/>
        </w:rPr>
      </w:pPr>
      <w:r>
        <w:drawing>
          <wp:inline distT="0" distB="0" distL="114300" distR="114300">
            <wp:extent cx="5588000" cy="3995420"/>
            <wp:effectExtent l="0" t="0" r="3175"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5588000" cy="3995420"/>
                    </a:xfrm>
                    <a:prstGeom prst="rect">
                      <a:avLst/>
                    </a:prstGeom>
                    <a:noFill/>
                    <a:ln>
                      <a:noFill/>
                    </a:ln>
                  </pic:spPr>
                </pic:pic>
              </a:graphicData>
            </a:graphic>
          </wp:inline>
        </w:drawing>
      </w:r>
    </w:p>
    <w:p w14:paraId="2D4BA132">
      <w:pPr>
        <w:keepNext w:val="0"/>
        <w:keepLines w:val="0"/>
        <w:pageBreakBefore w:val="0"/>
        <w:widowControl w:val="0"/>
        <w:kinsoku/>
        <w:wordWrap/>
        <w:overflowPunct/>
        <w:topLinePunct w:val="0"/>
        <w:autoSpaceDE/>
        <w:autoSpaceDN/>
        <w:bidi w:val="0"/>
        <w:adjustRightInd/>
        <w:snapToGrid/>
        <w:ind w:left="480" w:leftChars="200"/>
        <w:jc w:val="center"/>
        <w:textAlignment w:val="auto"/>
        <w:rPr>
          <w:rFonts w:hint="eastAsia"/>
          <w:lang w:val="en-US" w:eastAsia="zh-CN"/>
        </w:rPr>
      </w:pPr>
      <w:r>
        <w:rPr>
          <w:rFonts w:hint="eastAsia"/>
          <w:lang w:val="en-US" w:eastAsia="zh-CN"/>
        </w:rPr>
        <w:t>图3 探索性数据分析流程</w:t>
      </w:r>
    </w:p>
    <w:p w14:paraId="24426D3D">
      <w:pPr>
        <w:pStyle w:val="5"/>
        <w:bidi w:val="0"/>
        <w:rPr>
          <w:rFonts w:hint="eastAsia"/>
          <w:lang w:val="en-US" w:eastAsia="zh-CN"/>
        </w:rPr>
      </w:pPr>
      <w:r>
        <w:rPr>
          <w:rFonts w:hint="eastAsia"/>
          <w:lang w:val="en-US" w:eastAsia="zh-CN"/>
        </w:rPr>
        <w:t xml:space="preserve">4.4.1分析目标  </w:t>
      </w:r>
    </w:p>
    <w:p w14:paraId="6B3B5DEA">
      <w:pPr>
        <w:bidi w:val="0"/>
        <w:rPr>
          <w:rFonts w:hint="eastAsia"/>
          <w:lang w:val="en-US" w:eastAsia="zh-CN"/>
        </w:rPr>
      </w:pPr>
      <w:r>
        <w:rPr>
          <w:rFonts w:hint="eastAsia"/>
          <w:lang w:val="en-US" w:eastAsia="zh-CN"/>
        </w:rPr>
        <w:t>本阶段围绕以下六个方向展开：</w:t>
      </w:r>
    </w:p>
    <w:p w14:paraId="603B4885">
      <w:pPr>
        <w:bidi w:val="0"/>
        <w:rPr>
          <w:rFonts w:hint="eastAsia"/>
          <w:lang w:val="en-US" w:eastAsia="zh-CN"/>
        </w:rPr>
      </w:pPr>
    </w:p>
    <w:p w14:paraId="56BCDDA0">
      <w:pPr>
        <w:bidi w:val="0"/>
        <w:rPr>
          <w:rFonts w:hint="eastAsia"/>
          <w:lang w:val="en-US" w:eastAsia="zh-CN"/>
        </w:rPr>
      </w:pPr>
      <w:r>
        <w:rPr>
          <w:rFonts w:hint="eastAsia"/>
          <w:lang w:val="en-US" w:eastAsia="zh-CN"/>
        </w:rPr>
        <w:t xml:space="preserve"> 1. 确定学期键的统一构造口径，选取可信度最高的数据表作为标准来源；</w:t>
      </w:r>
    </w:p>
    <w:p w14:paraId="74C75E4D">
      <w:pPr>
        <w:bidi w:val="0"/>
        <w:rPr>
          <w:rFonts w:hint="eastAsia"/>
          <w:lang w:val="en-US" w:eastAsia="zh-CN"/>
        </w:rPr>
      </w:pPr>
      <w:r>
        <w:rPr>
          <w:rFonts w:hint="eastAsia"/>
          <w:lang w:val="en-US" w:eastAsia="zh-CN"/>
        </w:rPr>
        <w:t xml:space="preserve"> 2. 统计各特征的缺失率与离群值比例，评估整体数据质量；</w:t>
      </w:r>
    </w:p>
    <w:p w14:paraId="2ABDFA89">
      <w:pPr>
        <w:bidi w:val="0"/>
        <w:rPr>
          <w:rFonts w:hint="eastAsia"/>
          <w:lang w:val="en-US" w:eastAsia="zh-CN"/>
        </w:rPr>
      </w:pPr>
      <w:r>
        <w:rPr>
          <w:rFonts w:hint="eastAsia"/>
          <w:lang w:val="en-US" w:eastAsia="zh-CN"/>
        </w:rPr>
        <w:t xml:space="preserve"> 3. 分析各特征的分布形态（偏态、峰度），判断是否需要稳健化处理；</w:t>
      </w:r>
    </w:p>
    <w:p w14:paraId="64E88972">
      <w:pPr>
        <w:bidi w:val="0"/>
        <w:rPr>
          <w:rFonts w:hint="eastAsia"/>
          <w:lang w:val="en-US" w:eastAsia="zh-CN"/>
        </w:rPr>
      </w:pPr>
      <w:r>
        <w:rPr>
          <w:rFonts w:hint="eastAsia"/>
          <w:lang w:val="en-US" w:eastAsia="zh-CN"/>
        </w:rPr>
        <w:t xml:space="preserve"> 4. 检查特征间的高度相关性与冗余，通过相关系数矩阵和主成分分析识别并处理；</w:t>
      </w:r>
    </w:p>
    <w:p w14:paraId="31080708">
      <w:pPr>
        <w:bidi w:val="0"/>
        <w:rPr>
          <w:rFonts w:hint="eastAsia"/>
          <w:lang w:val="en-US" w:eastAsia="zh-CN"/>
        </w:rPr>
      </w:pPr>
      <w:r>
        <w:rPr>
          <w:rFonts w:hint="eastAsia"/>
          <w:lang w:val="en-US" w:eastAsia="zh-CN"/>
        </w:rPr>
        <w:t xml:space="preserve"> 5. 排查异常群体与噪声样本，避免其对后续建模产生干扰；</w:t>
      </w:r>
    </w:p>
    <w:p w14:paraId="15EA930E">
      <w:pPr>
        <w:bidi w:val="0"/>
        <w:rPr>
          <w:rFonts w:hint="eastAsia"/>
          <w:lang w:val="en-US" w:eastAsia="zh-CN"/>
        </w:rPr>
      </w:pPr>
      <w:r>
        <w:rPr>
          <w:rFonts w:hint="eastAsia"/>
          <w:lang w:val="en-US" w:eastAsia="zh-CN"/>
        </w:rPr>
        <w:t xml:space="preserve"> 6. 评估按班级、学院等维度分组后的样本量，确认是否满足后续分析需求。</w:t>
      </w:r>
    </w:p>
    <w:p w14:paraId="543BB461">
      <w:pPr>
        <w:pStyle w:val="5"/>
        <w:bidi w:val="0"/>
        <w:rPr>
          <w:rFonts w:hint="eastAsia"/>
          <w:lang w:val="en-US" w:eastAsia="zh-CN"/>
        </w:rPr>
      </w:pPr>
      <w:r>
        <w:rPr>
          <w:rFonts w:hint="eastAsia"/>
          <w:lang w:val="en-US" w:eastAsia="zh-CN"/>
        </w:rPr>
        <w:t>4.4.2 学期键定义</w:t>
      </w:r>
    </w:p>
    <w:p w14:paraId="0FF3E032">
      <w:pPr>
        <w:bidi w:val="0"/>
        <w:rPr>
          <w:rFonts w:hint="eastAsia"/>
          <w:lang w:eastAsia="zh-CN"/>
        </w:rPr>
      </w:pPr>
      <w:r>
        <w:rPr>
          <w:rFonts w:hint="eastAsia"/>
          <w:lang w:val="en-US" w:eastAsia="zh-CN"/>
        </w:rPr>
        <w:t>系统以成绩表的学期字段作为主口径，格式为“学年 - 学期序号”。将体能考核的学期字段解析为相同格式。体测数据仅有年度信息，保守映射到学年的第2学期。</w:t>
      </w:r>
    </w:p>
    <w:p w14:paraId="55640CD2">
      <w:pPr>
        <w:pStyle w:val="5"/>
        <w:bidi w:val="0"/>
        <w:rPr>
          <w:rFonts w:hint="eastAsia"/>
          <w:lang w:val="en-US" w:eastAsia="zh-CN"/>
        </w:rPr>
      </w:pPr>
      <w:r>
        <w:rPr>
          <w:rFonts w:hint="eastAsia"/>
          <w:lang w:val="en-US" w:eastAsia="zh-CN"/>
        </w:rPr>
        <w:t>4.4.3 关键发现</w:t>
      </w:r>
    </w:p>
    <w:p w14:paraId="7179F372">
      <w:pPr>
        <w:bidi w:val="0"/>
        <w:rPr>
          <w:rFonts w:hint="eastAsia"/>
          <w:lang w:val="en-US" w:eastAsia="zh-CN"/>
        </w:rPr>
      </w:pPr>
      <w:r>
        <w:rPr>
          <w:rFonts w:hint="eastAsia"/>
          <w:lang w:val="en-US" w:eastAsia="zh-CN"/>
        </w:rPr>
        <w:t>分析过程中发现三类值得关注的问题：</w:t>
      </w:r>
    </w:p>
    <w:p w14:paraId="601EF629">
      <w:pPr>
        <w:numPr>
          <w:ilvl w:val="0"/>
          <w:numId w:val="4"/>
        </w:numPr>
        <w:bidi w:val="0"/>
        <w:ind w:left="420" w:leftChars="0" w:hanging="420" w:firstLineChars="0"/>
        <w:rPr>
          <w:rFonts w:hint="eastAsia"/>
          <w:lang w:val="en-US" w:eastAsia="zh-CN"/>
        </w:rPr>
      </w:pPr>
      <w:r>
        <w:rPr>
          <w:rFonts w:hint="eastAsia"/>
          <w:lang w:val="en-US" w:eastAsia="zh-CN"/>
        </w:rPr>
        <w:t>作业耗时异常：作业提交记录的时间字段多为纯时间格式，直接相减会产生大量负值。修正方式为按跨1小时处理，修正后耗时分布趋于合理。</w:t>
      </w:r>
    </w:p>
    <w:p w14:paraId="782783B6">
      <w:pPr>
        <w:numPr>
          <w:ilvl w:val="0"/>
          <w:numId w:val="4"/>
        </w:numPr>
        <w:bidi w:val="0"/>
        <w:ind w:left="420" w:leftChars="0" w:hanging="420" w:firstLineChars="0"/>
        <w:rPr>
          <w:rFonts w:hint="eastAsia"/>
          <w:lang w:val="en-US" w:eastAsia="zh-CN"/>
        </w:rPr>
      </w:pPr>
      <w:r>
        <w:rPr>
          <w:rFonts w:hint="eastAsia"/>
          <w:lang w:val="en-US" w:eastAsia="zh-CN"/>
        </w:rPr>
        <w:t>体能数据结构性缺失：体能考核缺失率约76%，体测数据缺失率在51%至53%之间，原因是体测并非每学期开展，属于结构性缺失而非随机缺失。</w:t>
      </w:r>
    </w:p>
    <w:p w14:paraId="355015F6">
      <w:pPr>
        <w:numPr>
          <w:ilvl w:val="0"/>
          <w:numId w:val="4"/>
        </w:numPr>
        <w:bidi w:val="0"/>
        <w:ind w:left="420" w:leftChars="0" w:hanging="420" w:firstLineChars="0"/>
        <w:rPr>
          <w:rFonts w:hint="eastAsia"/>
          <w:lang w:val="en-US" w:eastAsia="zh-CN"/>
        </w:rPr>
      </w:pPr>
      <w:r>
        <w:rPr>
          <w:rFonts w:hint="eastAsia"/>
          <w:lang w:val="en-US" w:eastAsia="zh-CN"/>
        </w:rPr>
        <w:t>成绩特征冗余：成绩均值与成绩中位数相关系数约为0.91，信息高度重叠，后续特征工程中需进行去冗余处理。</w:t>
      </w:r>
    </w:p>
    <w:p w14:paraId="5D09C0E5">
      <w:pPr>
        <w:pStyle w:val="5"/>
        <w:bidi w:val="0"/>
        <w:rPr>
          <w:rFonts w:hint="eastAsia"/>
          <w:lang w:val="en-US" w:eastAsia="zh-CN"/>
        </w:rPr>
      </w:pPr>
      <w:r>
        <w:rPr>
          <w:rFonts w:hint="eastAsia"/>
          <w:lang w:val="en-US" w:eastAsia="zh-CN"/>
        </w:rPr>
        <w:t>4.4.4 分析产出</w:t>
      </w:r>
    </w:p>
    <w:p w14:paraId="422F580C">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r>
        <w:rPr>
          <w:rFonts w:hint="eastAsia"/>
          <w:lang w:val="en-US" w:eastAsia="zh-CN"/>
        </w:rPr>
        <w:t>探索性数据分析阶段产出特征草稿表，包含学生 - 学期粒度共约2万条记录、36个特征字段，为后续处理奠定基础。</w:t>
      </w:r>
    </w:p>
    <w:p w14:paraId="1F0BA03D">
      <w:pPr>
        <w:pStyle w:val="4"/>
        <w:bidi w:val="0"/>
        <w:rPr>
          <w:rFonts w:hint="eastAsia"/>
          <w:lang w:val="en-US" w:eastAsia="zh-CN"/>
        </w:rPr>
      </w:pPr>
      <w:bookmarkStart w:id="6" w:name="_Toc1460"/>
      <w:r>
        <w:rPr>
          <w:rFonts w:hint="eastAsia"/>
          <w:lang w:val="en-US" w:eastAsia="zh-CN"/>
        </w:rPr>
        <w:t>4.5特征工程处理</w:t>
      </w:r>
      <w:bookmarkEnd w:id="6"/>
    </w:p>
    <w:p w14:paraId="47E888BC">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r>
        <w:rPr>
          <w:rFonts w:hint="eastAsia"/>
          <w:lang w:val="en-US" w:eastAsia="zh-CN"/>
        </w:rPr>
        <w:t>在开展聚类分析与预测建模工作之前，需要对特征实施一系列预处理操作，以此提升模型的稳定性以及结果的可解释性。</w:t>
      </w:r>
    </w:p>
    <w:p w14:paraId="52DFC7BF">
      <w:pPr>
        <w:pStyle w:val="5"/>
        <w:bidi w:val="0"/>
        <w:rPr>
          <w:rFonts w:hint="eastAsia"/>
          <w:lang w:val="en-US" w:eastAsia="zh-CN"/>
        </w:rPr>
      </w:pPr>
      <w:r>
        <w:rPr>
          <w:rFonts w:hint="eastAsia"/>
          <w:lang w:val="en-US" w:eastAsia="zh-CN"/>
        </w:rPr>
        <w:t xml:space="preserve">4.5.1 缺失处理    </w:t>
      </w:r>
    </w:p>
    <w:p w14:paraId="7B619835">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r>
        <w:rPr>
          <w:rFonts w:hint="eastAsia"/>
          <w:lang w:val="en-US" w:eastAsia="zh-CN"/>
        </w:rPr>
        <w:t>为关键特征生成缺失指示列，保留"缺失"这一信息。数值缺失采用中位数进行保守填补，同时保留缺失指示，确保不遗漏缺失模式所包含的信息。</w:t>
      </w:r>
    </w:p>
    <w:p w14:paraId="6C3506CA">
      <w:pPr>
        <w:pStyle w:val="5"/>
        <w:bidi w:val="0"/>
        <w:rPr>
          <w:rFonts w:hint="eastAsia"/>
          <w:lang w:val="en-US" w:eastAsia="zh-CN"/>
        </w:rPr>
      </w:pPr>
      <w:r>
        <w:rPr>
          <w:rFonts w:hint="eastAsia"/>
          <w:lang w:val="en-US" w:eastAsia="zh-CN"/>
        </w:rPr>
        <w:t>4.5.2 特征筛选与缩放</w:t>
      </w:r>
    </w:p>
    <w:p w14:paraId="4689F362">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r>
        <w:rPr>
          <w:rFonts w:hint="eastAsia"/>
          <w:lang w:val="en-US" w:eastAsia="zh-CN"/>
        </w:rPr>
        <w:t>本步骤对特征依次进行四项处理，构成完整的清洗链：</w:t>
      </w:r>
    </w:p>
    <w:p w14:paraId="62BD65B6">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b/>
          <w:bCs/>
          <w:lang w:val="en-US" w:eastAsia="zh-CN"/>
        </w:rPr>
        <w:t>稳健化处理</w:t>
      </w:r>
      <w:r>
        <w:rPr>
          <w:rFonts w:hint="eastAsia"/>
          <w:lang w:val="en-US" w:eastAsia="zh-CN"/>
        </w:rPr>
        <w:t>：对长尾特征进行百分位数截断，再以中位数和四分位距实施标准化，降低极端值对距离度量的影响；</w:t>
      </w:r>
    </w:p>
    <w:p w14:paraId="68E76910">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b/>
          <w:bCs/>
          <w:lang w:val="en-US" w:eastAsia="zh-CN"/>
        </w:rPr>
        <w:t>低方差剔除</w:t>
      </w:r>
      <w:r>
        <w:rPr>
          <w:rFonts w:hint="eastAsia"/>
          <w:lang w:val="en-US" w:eastAsia="zh-CN"/>
        </w:rPr>
        <w:t>：删除几乎所有个体取值均相同的特征，此类特征对聚类缺乏区分作用。处理后删除3个零方差特征；</w:t>
      </w:r>
    </w:p>
    <w:p w14:paraId="20C2FDD5">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b/>
          <w:bCs/>
          <w:lang w:val="en-US" w:eastAsia="zh-CN"/>
        </w:rPr>
        <w:t>方差均衡</w:t>
      </w:r>
      <w:r>
        <w:rPr>
          <w:rFonts w:hint="eastAsia"/>
          <w:lang w:val="en-US" w:eastAsia="zh-CN"/>
        </w:rPr>
        <w:t>：对各特征进行单位方差缩放，使各特征波动幅度更为相近，避免聚类过程仅依据少数指标分组；</w:t>
      </w:r>
    </w:p>
    <w:p w14:paraId="207253EC">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b/>
          <w:bCs/>
          <w:lang w:val="en-US" w:eastAsia="zh-CN"/>
        </w:rPr>
        <w:t>冗余特征剔除</w:t>
      </w:r>
      <w:r>
        <w:rPr>
          <w:rFonts w:hint="eastAsia"/>
          <w:lang w:val="en-US" w:eastAsia="zh-CN"/>
        </w:rPr>
        <w:t>：对强相关特征进行二选一剔除，避免重复计权导致某一维度被过度放大。处理后剔除1个冗余特征。</w:t>
      </w:r>
    </w:p>
    <w:p w14:paraId="7D5C594A">
      <w:pPr>
        <w:pStyle w:val="5"/>
        <w:bidi w:val="0"/>
        <w:rPr>
          <w:rFonts w:hint="eastAsia"/>
          <w:lang w:val="en-US" w:eastAsia="zh-CN"/>
        </w:rPr>
      </w:pPr>
      <w:r>
        <w:rPr>
          <w:rFonts w:hint="eastAsia"/>
          <w:lang w:val="en-US" w:eastAsia="zh-CN"/>
        </w:rPr>
        <w:t>4.5.3 诊断与标记</w:t>
      </w:r>
    </w:p>
    <w:p w14:paraId="5FA4BA6E">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b/>
          <w:bCs/>
          <w:lang w:val="en-US" w:eastAsia="zh-CN"/>
        </w:rPr>
        <w:t>异常点标记</w:t>
      </w:r>
      <w:r>
        <w:rPr>
          <w:rFonts w:hint="eastAsia"/>
          <w:lang w:val="en-US" w:eastAsia="zh-CN"/>
        </w:rPr>
        <w:t>：针对每个数值特征计算百分位数阈值，生成低异常和高异常标记，仅标记不删除，用于后续判断是否需要通过密度聚类处理噪声；</w:t>
      </w:r>
    </w:p>
    <w:p w14:paraId="21D3E7ED">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b/>
          <w:bCs/>
          <w:lang w:val="en-US" w:eastAsia="zh-CN"/>
        </w:rPr>
        <w:t>主成分分析诊断</w:t>
      </w:r>
      <w:r>
        <w:rPr>
          <w:rFonts w:hint="eastAsia"/>
          <w:lang w:val="en-US" w:eastAsia="zh-CN"/>
        </w:rPr>
        <w:t>：检验数据是否被少数方向主导，仅作为诊断手段，不用于最终画像构建。前两个主成分累计解释方差约26%，符合多维均衡结构。</w:t>
      </w:r>
    </w:p>
    <w:p w14:paraId="65B17E14">
      <w:pPr>
        <w:pStyle w:val="5"/>
        <w:bidi w:val="0"/>
        <w:rPr>
          <w:rFonts w:hint="eastAsia"/>
          <w:lang w:val="en-US" w:eastAsia="zh-CN"/>
        </w:rPr>
      </w:pPr>
      <w:r>
        <w:rPr>
          <w:rFonts w:hint="eastAsia"/>
          <w:lang w:val="en-US" w:eastAsia="zh-CN"/>
        </w:rPr>
        <w:t>4.5.4 处理结果</w:t>
      </w:r>
    </w:p>
    <w:p w14:paraId="423DACF4">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r>
        <w:rPr>
          <w:rFonts w:hint="eastAsia"/>
          <w:lang w:val="en-US" w:eastAsia="zh-CN"/>
        </w:rPr>
        <w:t>输入样本以学生-学期为粒度，共约2万条记录。处理后剔除3个零方差特征和1个冗余特征，新增66列异常标签，输出标准化特征表供后续建模使用。</w:t>
      </w:r>
    </w:p>
    <w:p w14:paraId="3DD9CB9C">
      <w:pPr>
        <w:pStyle w:val="3"/>
        <w:bidi w:val="0"/>
        <w:rPr>
          <w:rFonts w:hint="eastAsia"/>
          <w:lang w:val="en-US" w:eastAsia="zh-CN"/>
        </w:rPr>
      </w:pPr>
      <w:bookmarkStart w:id="7" w:name="_Toc10698"/>
      <w:r>
        <w:rPr>
          <w:rFonts w:hint="eastAsia"/>
          <w:lang w:val="en-US" w:eastAsia="zh-CN"/>
        </w:rPr>
        <w:t>五、学生分群画像建模</w:t>
      </w:r>
      <w:bookmarkEnd w:id="7"/>
    </w:p>
    <w:p w14:paraId="32FF3381">
      <w:pPr>
        <w:pStyle w:val="4"/>
        <w:bidi w:val="0"/>
        <w:jc w:val="both"/>
        <w:rPr>
          <w:rFonts w:hint="eastAsia"/>
          <w:lang w:val="en-US" w:eastAsia="zh-CN"/>
        </w:rPr>
      </w:pPr>
      <w:r>
        <w:rPr>
          <w:rFonts w:hint="eastAsia"/>
          <w:lang w:val="en-US" w:eastAsia="zh-CN"/>
        </w:rPr>
        <w:t>5.1 整体架构</w:t>
      </w:r>
    </w:p>
    <w:p w14:paraId="4B43C323">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val="en-US" w:eastAsia="zh-CN"/>
        </w:rPr>
      </w:pPr>
      <w:r>
        <w:rPr>
          <w:rFonts w:hint="eastAsia"/>
          <w:lang w:val="en-US" w:eastAsia="zh-CN"/>
        </w:rPr>
        <w:t>系统采用两层软聚类架构。第一层在六个维度分数空间上运行高斯混合模型，将学生-学期样本划分为8个大类（mode）；第二层在每个大类内部，利用冻结的原始特征进一步细分，每个大类下划分4个子类（subtype），总计32个子类。</w:t>
      </w:r>
    </w:p>
    <w:p w14:paraId="6F530D2D">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采用两层结构的原因在于：直接在高维原始特征空间聚类容易被少数指标主导，模式解释不够多维。先将特征压缩为6个语义明确的维度分数，再在维度空间聚类，能保证大类之间的差异来自多个维度，而非单一指标。</w:t>
      </w:r>
    </w:p>
    <w:p w14:paraId="3B6D686C">
      <w:pPr>
        <w:pStyle w:val="4"/>
        <w:bidi w:val="0"/>
        <w:jc w:val="both"/>
        <w:rPr>
          <w:rFonts w:hint="eastAsia"/>
          <w:lang w:val="en-US" w:eastAsia="zh-CN"/>
        </w:rPr>
      </w:pPr>
      <w:r>
        <w:rPr>
          <w:rFonts w:hint="eastAsia"/>
          <w:lang w:val="en-US" w:eastAsia="zh-CN"/>
        </w:rPr>
        <w:t>5.2 六个维度分数</w:t>
      </w:r>
    </w:p>
    <w:p w14:paraId="15AFCC8B">
      <w:pPr>
        <w:rPr>
          <w:rFonts w:hint="default"/>
          <w:lang w:val="en-US" w:eastAsia="zh-CN"/>
        </w:rPr>
      </w:pPr>
      <w:r>
        <w:rPr>
          <w:rFonts w:hint="eastAsia"/>
          <w:lang w:val="en-US" w:eastAsia="zh-CN"/>
        </w:rPr>
        <w:t>六个维度分数含义如下：</w:t>
      </w:r>
    </w:p>
    <w:tbl>
      <w:tblPr>
        <w:tblStyle w:val="12"/>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16"/>
        <w:gridCol w:w="3183"/>
        <w:gridCol w:w="4789"/>
      </w:tblGrid>
      <w:tr w14:paraId="034F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1416" w:type="dxa"/>
            <w:vAlign w:val="center"/>
          </w:tcPr>
          <w:p w14:paraId="30B5DB74">
            <w:pPr>
              <w:bidi w:val="0"/>
              <w:snapToGrid w:val="0"/>
              <w:ind w:left="0" w:leftChars="0" w:right="0" w:rightChars="0" w:firstLine="0" w:firstLineChars="0"/>
              <w:jc w:val="center"/>
              <w:rPr>
                <w:rFonts w:hint="eastAsia"/>
                <w:b/>
                <w:lang w:val="en-US" w:eastAsia="zh-CN"/>
              </w:rPr>
            </w:pPr>
            <w:r>
              <w:rPr>
                <w:rFonts w:hint="eastAsia"/>
                <w:b/>
                <w:lang w:val="en-US" w:eastAsia="zh-CN"/>
              </w:rPr>
              <w:t>维度</w:t>
            </w:r>
          </w:p>
        </w:tc>
        <w:tc>
          <w:tcPr>
            <w:tcW w:w="3183" w:type="dxa"/>
            <w:vAlign w:val="center"/>
          </w:tcPr>
          <w:p w14:paraId="43C9650C">
            <w:pPr>
              <w:bidi w:val="0"/>
              <w:snapToGrid w:val="0"/>
              <w:ind w:left="0" w:leftChars="0" w:right="0" w:rightChars="0" w:firstLine="0" w:firstLineChars="0"/>
              <w:jc w:val="center"/>
              <w:rPr>
                <w:rFonts w:hint="eastAsia"/>
                <w:b/>
                <w:lang w:val="en-US" w:eastAsia="zh-CN"/>
              </w:rPr>
            </w:pPr>
            <w:r>
              <w:rPr>
                <w:rFonts w:hint="eastAsia"/>
                <w:b/>
                <w:lang w:val="en-US" w:eastAsia="zh-CN"/>
              </w:rPr>
              <w:t>数据来源</w:t>
            </w:r>
          </w:p>
        </w:tc>
        <w:tc>
          <w:tcPr>
            <w:tcW w:w="4789" w:type="dxa"/>
            <w:vAlign w:val="center"/>
          </w:tcPr>
          <w:p w14:paraId="6455EE21">
            <w:pPr>
              <w:bidi w:val="0"/>
              <w:snapToGrid w:val="0"/>
              <w:ind w:left="0" w:leftChars="0" w:right="0" w:rightChars="0" w:firstLine="0" w:firstLineChars="0"/>
              <w:jc w:val="center"/>
              <w:rPr>
                <w:rFonts w:hint="eastAsia"/>
                <w:b/>
                <w:lang w:val="en-US" w:eastAsia="zh-CN"/>
              </w:rPr>
            </w:pPr>
            <w:r>
              <w:rPr>
                <w:rFonts w:hint="eastAsia"/>
                <w:b/>
                <w:lang w:val="en-US" w:eastAsia="zh-CN"/>
              </w:rPr>
              <w:t>含义</w:t>
            </w:r>
          </w:p>
        </w:tc>
      </w:tr>
      <w:tr w14:paraId="5A0A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16" w:type="dxa"/>
            <w:vAlign w:val="center"/>
          </w:tcPr>
          <w:p w14:paraId="06D5D12D">
            <w:pPr>
              <w:bidi w:val="0"/>
              <w:snapToGrid w:val="0"/>
              <w:ind w:left="0" w:leftChars="0" w:right="0" w:rightChars="0" w:firstLine="0" w:firstLineChars="0"/>
              <w:jc w:val="center"/>
              <w:rPr>
                <w:rFonts w:hint="eastAsia"/>
                <w:lang w:val="en-US" w:eastAsia="zh-CN"/>
              </w:rPr>
            </w:pPr>
            <w:r>
              <w:rPr>
                <w:rFonts w:hint="eastAsia"/>
                <w:lang w:val="en-US" w:eastAsia="zh-CN"/>
              </w:rPr>
              <w:t>学业表现</w:t>
            </w:r>
          </w:p>
        </w:tc>
        <w:tc>
          <w:tcPr>
            <w:tcW w:w="3183" w:type="dxa"/>
            <w:vAlign w:val="center"/>
          </w:tcPr>
          <w:p w14:paraId="726B8407">
            <w:pPr>
              <w:bidi w:val="0"/>
              <w:snapToGrid w:val="0"/>
              <w:ind w:left="0" w:leftChars="0" w:right="0" w:rightChars="0" w:firstLine="0" w:firstLineChars="0"/>
              <w:jc w:val="center"/>
              <w:rPr>
                <w:rFonts w:hint="eastAsia"/>
                <w:lang w:val="en-US" w:eastAsia="zh-CN"/>
              </w:rPr>
            </w:pPr>
            <w:r>
              <w:rPr>
                <w:rFonts w:hint="eastAsia"/>
                <w:lang w:val="en-US" w:eastAsia="zh-CN"/>
              </w:rPr>
              <w:t>成绩表</w:t>
            </w:r>
          </w:p>
        </w:tc>
        <w:tc>
          <w:tcPr>
            <w:tcW w:w="4789" w:type="dxa"/>
            <w:vAlign w:val="center"/>
          </w:tcPr>
          <w:p w14:paraId="2ED9D43E">
            <w:pPr>
              <w:bidi w:val="0"/>
              <w:snapToGrid w:val="0"/>
              <w:ind w:left="0" w:leftChars="0" w:right="0" w:rightChars="0" w:firstLine="0" w:firstLineChars="0"/>
              <w:jc w:val="center"/>
              <w:rPr>
                <w:rFonts w:hint="eastAsia"/>
                <w:lang w:val="en-US" w:eastAsia="zh-CN"/>
              </w:rPr>
            </w:pPr>
            <w:r>
              <w:rPr>
                <w:rFonts w:hint="eastAsia"/>
                <w:lang w:val="en-US" w:eastAsia="zh-CN"/>
              </w:rPr>
              <w:t>课程成绩、挂科率、绩点等学习成效</w:t>
            </w:r>
          </w:p>
        </w:tc>
      </w:tr>
      <w:tr w14:paraId="242B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16" w:type="dxa"/>
            <w:vAlign w:val="center"/>
          </w:tcPr>
          <w:p w14:paraId="493FF7DA">
            <w:pPr>
              <w:bidi w:val="0"/>
              <w:snapToGrid w:val="0"/>
              <w:ind w:left="0" w:leftChars="0" w:right="0" w:rightChars="0" w:firstLine="0" w:firstLineChars="0"/>
              <w:jc w:val="center"/>
              <w:rPr>
                <w:rFonts w:hint="eastAsia"/>
                <w:lang w:val="en-US" w:eastAsia="zh-CN"/>
              </w:rPr>
            </w:pPr>
            <w:r>
              <w:rPr>
                <w:rFonts w:hint="eastAsia"/>
                <w:lang w:val="en-US" w:eastAsia="zh-CN"/>
              </w:rPr>
              <w:t>出勤参与</w:t>
            </w:r>
          </w:p>
        </w:tc>
        <w:tc>
          <w:tcPr>
            <w:tcW w:w="3183" w:type="dxa"/>
            <w:vAlign w:val="center"/>
          </w:tcPr>
          <w:p w14:paraId="5489A994">
            <w:pPr>
              <w:bidi w:val="0"/>
              <w:snapToGrid w:val="0"/>
              <w:ind w:left="0" w:leftChars="0" w:right="0" w:rightChars="0" w:firstLine="0" w:firstLineChars="0"/>
              <w:jc w:val="center"/>
              <w:rPr>
                <w:rFonts w:hint="eastAsia"/>
                <w:lang w:val="en-US" w:eastAsia="zh-CN"/>
              </w:rPr>
            </w:pPr>
            <w:r>
              <w:rPr>
                <w:rFonts w:hint="eastAsia"/>
                <w:lang w:val="en-US" w:eastAsia="zh-CN"/>
              </w:rPr>
              <w:t>签到记录</w:t>
            </w:r>
          </w:p>
        </w:tc>
        <w:tc>
          <w:tcPr>
            <w:tcW w:w="4789" w:type="dxa"/>
            <w:vAlign w:val="center"/>
          </w:tcPr>
          <w:p w14:paraId="039C1662">
            <w:pPr>
              <w:bidi w:val="0"/>
              <w:snapToGrid w:val="0"/>
              <w:ind w:left="0" w:leftChars="0" w:right="0" w:rightChars="0" w:firstLine="0" w:firstLineChars="0"/>
              <w:jc w:val="center"/>
              <w:rPr>
                <w:rFonts w:hint="eastAsia"/>
                <w:lang w:val="en-US" w:eastAsia="zh-CN"/>
              </w:rPr>
            </w:pPr>
            <w:r>
              <w:rPr>
                <w:rFonts w:hint="eastAsia"/>
                <w:lang w:val="en-US" w:eastAsia="zh-CN"/>
              </w:rPr>
              <w:t>课堂出勤与活动参与状况</w:t>
            </w:r>
          </w:p>
        </w:tc>
      </w:tr>
      <w:tr w14:paraId="1894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16" w:type="dxa"/>
            <w:vAlign w:val="center"/>
          </w:tcPr>
          <w:p w14:paraId="37537AC4">
            <w:pPr>
              <w:bidi w:val="0"/>
              <w:snapToGrid w:val="0"/>
              <w:ind w:left="0" w:leftChars="0" w:right="0" w:rightChars="0" w:firstLine="0" w:firstLineChars="0"/>
              <w:jc w:val="center"/>
              <w:rPr>
                <w:rFonts w:hint="eastAsia"/>
                <w:lang w:val="en-US" w:eastAsia="zh-CN"/>
              </w:rPr>
            </w:pPr>
            <w:r>
              <w:rPr>
                <w:rFonts w:hint="eastAsia"/>
                <w:lang w:val="en-US" w:eastAsia="zh-CN"/>
              </w:rPr>
              <w:t>作业行为</w:t>
            </w:r>
          </w:p>
        </w:tc>
        <w:tc>
          <w:tcPr>
            <w:tcW w:w="3183" w:type="dxa"/>
            <w:vAlign w:val="center"/>
          </w:tcPr>
          <w:p w14:paraId="2B80187F">
            <w:pPr>
              <w:bidi w:val="0"/>
              <w:snapToGrid w:val="0"/>
              <w:ind w:left="0" w:leftChars="0" w:right="0" w:rightChars="0" w:firstLine="0" w:firstLineChars="0"/>
              <w:jc w:val="center"/>
              <w:rPr>
                <w:rFonts w:hint="eastAsia"/>
                <w:lang w:val="en-US" w:eastAsia="zh-CN"/>
              </w:rPr>
            </w:pPr>
            <w:r>
              <w:rPr>
                <w:rFonts w:hint="eastAsia"/>
                <w:lang w:val="en-US" w:eastAsia="zh-CN"/>
              </w:rPr>
              <w:t>作业提交记录</w:t>
            </w:r>
          </w:p>
        </w:tc>
        <w:tc>
          <w:tcPr>
            <w:tcW w:w="4789" w:type="dxa"/>
            <w:vAlign w:val="center"/>
          </w:tcPr>
          <w:p w14:paraId="282CBE82">
            <w:pPr>
              <w:bidi w:val="0"/>
              <w:snapToGrid w:val="0"/>
              <w:ind w:left="0" w:leftChars="0" w:right="0" w:rightChars="0" w:firstLine="0" w:firstLineChars="0"/>
              <w:jc w:val="center"/>
              <w:rPr>
                <w:rFonts w:hint="eastAsia"/>
                <w:lang w:val="en-US" w:eastAsia="zh-CN"/>
              </w:rPr>
            </w:pPr>
            <w:r>
              <w:rPr>
                <w:rFonts w:hint="eastAsia"/>
                <w:lang w:val="en-US" w:eastAsia="zh-CN"/>
              </w:rPr>
              <w:t>提交频率、耗时、按时率等学习投入</w:t>
            </w:r>
          </w:p>
        </w:tc>
      </w:tr>
      <w:tr w14:paraId="44A44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16" w:type="dxa"/>
            <w:vAlign w:val="center"/>
          </w:tcPr>
          <w:p w14:paraId="01FE8B68">
            <w:pPr>
              <w:bidi w:val="0"/>
              <w:snapToGrid w:val="0"/>
              <w:ind w:left="0" w:leftChars="0" w:right="0" w:rightChars="0" w:firstLine="0" w:firstLineChars="0"/>
              <w:jc w:val="center"/>
              <w:rPr>
                <w:rFonts w:hint="eastAsia"/>
                <w:lang w:val="en-US" w:eastAsia="zh-CN"/>
              </w:rPr>
            </w:pPr>
            <w:r>
              <w:rPr>
                <w:rFonts w:hint="eastAsia"/>
                <w:lang w:val="en-US" w:eastAsia="zh-CN"/>
              </w:rPr>
              <w:t>线上学习</w:t>
            </w:r>
          </w:p>
        </w:tc>
        <w:tc>
          <w:tcPr>
            <w:tcW w:w="3183" w:type="dxa"/>
            <w:vAlign w:val="center"/>
          </w:tcPr>
          <w:p w14:paraId="0130A9E7">
            <w:pPr>
              <w:bidi w:val="0"/>
              <w:snapToGrid w:val="0"/>
              <w:ind w:left="0" w:leftChars="0" w:right="0" w:rightChars="0" w:firstLine="0" w:firstLineChars="0"/>
              <w:jc w:val="center"/>
              <w:rPr>
                <w:rFonts w:hint="eastAsia"/>
                <w:lang w:val="en-US" w:eastAsia="zh-CN"/>
              </w:rPr>
            </w:pPr>
            <w:r>
              <w:rPr>
                <w:rFonts w:hint="eastAsia"/>
                <w:lang w:val="en-US" w:eastAsia="zh-CN"/>
              </w:rPr>
              <w:t>线上学习综合表现</w:t>
            </w:r>
          </w:p>
        </w:tc>
        <w:tc>
          <w:tcPr>
            <w:tcW w:w="4789" w:type="dxa"/>
            <w:vAlign w:val="center"/>
          </w:tcPr>
          <w:p w14:paraId="22020A8A">
            <w:pPr>
              <w:bidi w:val="0"/>
              <w:snapToGrid w:val="0"/>
              <w:ind w:left="0" w:leftChars="0" w:right="0" w:rightChars="0" w:firstLine="0" w:firstLineChars="0"/>
              <w:jc w:val="center"/>
              <w:rPr>
                <w:rFonts w:hint="eastAsia"/>
                <w:lang w:val="en-US" w:eastAsia="zh-CN"/>
              </w:rPr>
            </w:pPr>
            <w:r>
              <w:rPr>
                <w:rFonts w:hint="eastAsia"/>
                <w:lang w:val="en-US" w:eastAsia="zh-CN"/>
              </w:rPr>
              <w:t>在线学习活跃度与综合表现</w:t>
            </w:r>
          </w:p>
        </w:tc>
      </w:tr>
      <w:tr w14:paraId="7106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16" w:type="dxa"/>
            <w:vAlign w:val="center"/>
          </w:tcPr>
          <w:p w14:paraId="0156AC00">
            <w:pPr>
              <w:bidi w:val="0"/>
              <w:snapToGrid w:val="0"/>
              <w:ind w:left="0" w:leftChars="0" w:right="0" w:rightChars="0" w:firstLine="0" w:firstLineChars="0"/>
              <w:jc w:val="center"/>
              <w:rPr>
                <w:rFonts w:hint="eastAsia"/>
                <w:lang w:val="en-US" w:eastAsia="zh-CN"/>
              </w:rPr>
            </w:pPr>
            <w:r>
              <w:rPr>
                <w:rFonts w:hint="eastAsia"/>
                <w:lang w:val="en-US" w:eastAsia="zh-CN"/>
              </w:rPr>
              <w:t>体能</w:t>
            </w:r>
          </w:p>
        </w:tc>
        <w:tc>
          <w:tcPr>
            <w:tcW w:w="3183" w:type="dxa"/>
            <w:vAlign w:val="center"/>
          </w:tcPr>
          <w:p w14:paraId="130AB163">
            <w:pPr>
              <w:bidi w:val="0"/>
              <w:snapToGrid w:val="0"/>
              <w:ind w:left="0" w:leftChars="0" w:right="0" w:rightChars="0" w:firstLine="0" w:firstLineChars="0"/>
              <w:jc w:val="center"/>
              <w:rPr>
                <w:rFonts w:hint="eastAsia"/>
                <w:lang w:val="en-US" w:eastAsia="zh-CN"/>
              </w:rPr>
            </w:pPr>
            <w:r>
              <w:rPr>
                <w:rFonts w:hint="eastAsia"/>
                <w:lang w:val="en-US" w:eastAsia="zh-CN"/>
              </w:rPr>
              <w:t>体能考核与体测数据</w:t>
            </w:r>
          </w:p>
        </w:tc>
        <w:tc>
          <w:tcPr>
            <w:tcW w:w="4789" w:type="dxa"/>
            <w:vAlign w:val="center"/>
          </w:tcPr>
          <w:p w14:paraId="1C9067AB">
            <w:pPr>
              <w:bidi w:val="0"/>
              <w:snapToGrid w:val="0"/>
              <w:ind w:left="0" w:leftChars="0" w:right="0" w:rightChars="0" w:firstLine="0" w:firstLineChars="0"/>
              <w:jc w:val="center"/>
              <w:rPr>
                <w:rFonts w:hint="eastAsia"/>
                <w:lang w:val="en-US" w:eastAsia="zh-CN"/>
              </w:rPr>
            </w:pPr>
            <w:r>
              <w:rPr>
                <w:rFonts w:hint="eastAsia"/>
                <w:lang w:val="en-US" w:eastAsia="zh-CN"/>
              </w:rPr>
              <w:t>身体健康与体测成绩</w:t>
            </w:r>
          </w:p>
        </w:tc>
      </w:tr>
      <w:tr w14:paraId="65BD2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16" w:type="dxa"/>
            <w:vAlign w:val="center"/>
          </w:tcPr>
          <w:p w14:paraId="29FC0394">
            <w:pPr>
              <w:bidi w:val="0"/>
              <w:snapToGrid w:val="0"/>
              <w:ind w:left="0" w:leftChars="0" w:right="0" w:rightChars="0" w:firstLine="0" w:firstLineChars="0"/>
              <w:jc w:val="center"/>
              <w:rPr>
                <w:rFonts w:hint="eastAsia"/>
                <w:lang w:val="en-US" w:eastAsia="zh-CN"/>
              </w:rPr>
            </w:pPr>
            <w:r>
              <w:rPr>
                <w:rFonts w:hint="eastAsia"/>
                <w:lang w:val="en-US" w:eastAsia="zh-CN"/>
              </w:rPr>
              <w:t>发展成就</w:t>
            </w:r>
          </w:p>
        </w:tc>
        <w:tc>
          <w:tcPr>
            <w:tcW w:w="3183" w:type="dxa"/>
            <w:vAlign w:val="center"/>
          </w:tcPr>
          <w:p w14:paraId="65D85F58">
            <w:pPr>
              <w:bidi w:val="0"/>
              <w:snapToGrid w:val="0"/>
              <w:ind w:left="0" w:leftChars="0" w:right="0" w:rightChars="0" w:firstLine="0" w:firstLineChars="0"/>
              <w:jc w:val="center"/>
              <w:rPr>
                <w:rFonts w:hint="eastAsia"/>
                <w:lang w:val="en-US" w:eastAsia="zh-CN"/>
              </w:rPr>
            </w:pPr>
            <w:r>
              <w:rPr>
                <w:rFonts w:hint="eastAsia"/>
                <w:lang w:val="en-US" w:eastAsia="zh-CN"/>
              </w:rPr>
              <w:t>竞赛、奖学金、综合测评</w:t>
            </w:r>
          </w:p>
        </w:tc>
        <w:tc>
          <w:tcPr>
            <w:tcW w:w="4789" w:type="dxa"/>
            <w:vAlign w:val="center"/>
          </w:tcPr>
          <w:p w14:paraId="2D8FA912">
            <w:pPr>
              <w:bidi w:val="0"/>
              <w:snapToGrid w:val="0"/>
              <w:ind w:left="0" w:leftChars="0" w:right="0" w:rightChars="0" w:firstLine="0" w:firstLineChars="0"/>
              <w:jc w:val="center"/>
              <w:rPr>
                <w:rFonts w:hint="eastAsia"/>
                <w:lang w:val="en-US" w:eastAsia="zh-CN"/>
              </w:rPr>
            </w:pPr>
            <w:r>
              <w:rPr>
                <w:rFonts w:hint="eastAsia"/>
                <w:lang w:val="en-US" w:eastAsia="zh-CN"/>
              </w:rPr>
              <w:t>奖学金、竞赛获奖、四六级等综合素质</w:t>
            </w:r>
          </w:p>
        </w:tc>
      </w:tr>
    </w:tbl>
    <w:p w14:paraId="5588E773">
      <w:pPr>
        <w:pStyle w:val="6"/>
        <w:jc w:val="center"/>
        <w:rPr>
          <w:rFonts w:hint="eastAsia"/>
          <w:lang w:val="en-US" w:eastAsia="zh-CN"/>
        </w:rPr>
      </w:pPr>
      <w:r>
        <w:t xml:space="preserve">表 </w:t>
      </w:r>
      <w:r>
        <w:fldChar w:fldCharType="begin"/>
      </w:r>
      <w:r>
        <w:instrText xml:space="preserve"> SEQ 表 \* ARABIC </w:instrText>
      </w:r>
      <w:r>
        <w:fldChar w:fldCharType="separate"/>
      </w:r>
      <w:r>
        <w:t>2</w:t>
      </w:r>
      <w:r>
        <w:fldChar w:fldCharType="end"/>
      </w:r>
    </w:p>
    <w:p w14:paraId="38419DEC">
      <w:pPr>
        <w:pStyle w:val="4"/>
        <w:bidi w:val="0"/>
        <w:jc w:val="both"/>
        <w:rPr>
          <w:rFonts w:hint="eastAsia"/>
          <w:lang w:val="en-US" w:eastAsia="zh-CN"/>
        </w:rPr>
      </w:pPr>
      <w:r>
        <w:rPr>
          <w:rFonts w:hint="eastAsia"/>
          <w:lang w:val="en-US" w:eastAsia="zh-CN"/>
        </w:rPr>
        <w:t>5.3 模型选型</w:t>
      </w:r>
    </w:p>
    <w:p w14:paraId="662C0B31">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eastAsia="zh-CN"/>
        </w:rPr>
        <w:t>采用高斯混合模型（GMM）开展软聚类，输出每个学生-学期属于每个类别的后验概率，而非硬切分标签。软聚类的优势在于保留边界样本的不确定性信息，更契合教育场景中行为模式的连续谱特征。同时输出概率熵和边界指标，用于识别模式归属不明确的学生。</w:t>
      </w:r>
    </w:p>
    <w:p w14:paraId="5144881E">
      <w:pPr>
        <w:pStyle w:val="4"/>
        <w:bidi w:val="0"/>
        <w:jc w:val="both"/>
        <w:rPr>
          <w:rFonts w:hint="eastAsia"/>
          <w:lang w:val="en-US" w:eastAsia="zh-CN"/>
        </w:rPr>
      </w:pPr>
      <w:r>
        <w:rPr>
          <w:rFonts w:hint="eastAsia"/>
          <w:lang w:val="en-US" w:eastAsia="zh-CN"/>
        </w:rPr>
        <w:t>5.4 K值选择依据</w:t>
      </w:r>
    </w:p>
    <w:p w14:paraId="518A3DF4">
      <w:pPr>
        <w:bidi w:val="0"/>
        <w:rPr>
          <w:rFonts w:hint="eastAsia"/>
          <w:lang w:val="en-US" w:eastAsia="zh-CN"/>
        </w:rPr>
      </w:pPr>
      <w:r>
        <w:rPr>
          <w:rFonts w:hint="eastAsia"/>
          <w:lang w:val="en-US" w:eastAsia="zh-CN"/>
        </w:rPr>
        <w:t>对mode层在K=4至12范围内进行网格搜索，综合以下四类指标评估：</w:t>
      </w:r>
    </w:p>
    <w:p w14:paraId="2B8114BA">
      <w:pPr>
        <w:numPr>
          <w:ilvl w:val="0"/>
          <w:numId w:val="4"/>
        </w:numPr>
        <w:bidi w:val="0"/>
        <w:ind w:left="420" w:leftChars="0" w:hanging="420" w:firstLineChars="0"/>
        <w:rPr>
          <w:rFonts w:hint="eastAsia"/>
          <w:lang w:val="en-US" w:eastAsia="zh-CN"/>
        </w:rPr>
      </w:pPr>
      <w:r>
        <w:rPr>
          <w:rFonts w:hint="eastAsia"/>
          <w:lang w:val="en-US" w:eastAsia="zh-CN"/>
        </w:rPr>
        <w:t>拟合质量：BIC与AIC</w:t>
      </w:r>
    </w:p>
    <w:p w14:paraId="41E180E7">
      <w:pPr>
        <w:numPr>
          <w:ilvl w:val="0"/>
          <w:numId w:val="4"/>
        </w:numPr>
        <w:bidi w:val="0"/>
        <w:ind w:left="420" w:leftChars="0" w:hanging="420" w:firstLineChars="0"/>
        <w:rPr>
          <w:rFonts w:hint="eastAsia"/>
          <w:lang w:val="en-US" w:eastAsia="zh-CN"/>
        </w:rPr>
      </w:pPr>
      <w:r>
        <w:rPr>
          <w:rFonts w:hint="eastAsia"/>
          <w:lang w:val="en-US" w:eastAsia="zh-CN"/>
        </w:rPr>
        <w:t>硬标签稳定性：不同随机种子下的调整兰德指数（ARI）与归一化互信息（NMI）</w:t>
      </w:r>
    </w:p>
    <w:p w14:paraId="1316E691">
      <w:pPr>
        <w:numPr>
          <w:ilvl w:val="0"/>
          <w:numId w:val="4"/>
        </w:numPr>
        <w:bidi w:val="0"/>
        <w:ind w:left="420" w:leftChars="0" w:hanging="420" w:firstLineChars="0"/>
        <w:rPr>
          <w:rFonts w:hint="eastAsia"/>
          <w:lang w:val="en-US" w:eastAsia="zh-CN"/>
        </w:rPr>
      </w:pPr>
      <w:r>
        <w:rPr>
          <w:rFonts w:hint="eastAsia"/>
          <w:lang w:val="en-US" w:eastAsia="zh-CN"/>
        </w:rPr>
        <w:t>软概率稳定性：概率分布L1差异与JSD差异</w:t>
      </w:r>
    </w:p>
    <w:p w14:paraId="54275B8A">
      <w:pPr>
        <w:numPr>
          <w:ilvl w:val="0"/>
          <w:numId w:val="4"/>
        </w:numPr>
        <w:bidi w:val="0"/>
        <w:ind w:left="420" w:leftChars="0" w:hanging="420" w:firstLineChars="0"/>
        <w:rPr>
          <w:rFonts w:hint="eastAsia"/>
          <w:lang w:val="en-US" w:eastAsia="zh-CN"/>
        </w:rPr>
      </w:pPr>
      <w:r>
        <w:rPr>
          <w:rFonts w:hint="eastAsia"/>
          <w:lang w:val="en-US" w:eastAsia="zh-CN"/>
        </w:rPr>
        <w:t>不确定性：最大概率均值与概率熵</w:t>
      </w:r>
    </w:p>
    <w:p w14:paraId="5A8D0884">
      <w:pPr>
        <w:bidi w:val="0"/>
        <w:rPr>
          <w:rFonts w:hint="eastAsia"/>
          <w:lang w:val="en-US" w:eastAsia="zh-CN"/>
        </w:rPr>
      </w:pPr>
      <w:r>
        <w:rPr>
          <w:rFonts w:hint="eastAsia"/>
          <w:lang w:val="en-US" w:eastAsia="zh-CN"/>
        </w:rPr>
        <w:t>评估结论：K=5稳定性最高但模式颗粒度偏粗；K≥9后稳定性明显下降，可解释性变差；K=6至8在模式区分度与稳定性之间最为平衡。最终选定K=8，其ARI均值约0.95、NMI均值约0.87、概率分布差异约0.02，稳定性良好且模式清晰。</w:t>
      </w:r>
    </w:p>
    <w:p w14:paraId="4FEA2CD1">
      <w:pPr>
        <w:pStyle w:val="4"/>
        <w:bidi w:val="0"/>
        <w:rPr>
          <w:rFonts w:hint="eastAsia"/>
          <w:lang w:val="en-US" w:eastAsia="zh-CN"/>
        </w:rPr>
      </w:pPr>
      <w:r>
        <w:rPr>
          <w:rFonts w:hint="eastAsia"/>
          <w:lang w:val="en-US" w:eastAsia="zh-CN"/>
        </w:rPr>
        <w:t>5.5 当前8个大类（mode）概览</w:t>
      </w:r>
    </w:p>
    <w:tbl>
      <w:tblPr>
        <w:tblStyle w:val="11"/>
        <w:tblW w:w="9275" w:type="dxa"/>
        <w:jc w:val="center"/>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9"/>
        <w:gridCol w:w="2643"/>
        <w:gridCol w:w="867"/>
        <w:gridCol w:w="4976"/>
      </w:tblGrid>
      <w:tr w14:paraId="6105963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789" w:type="dxa"/>
            <w:tcBorders>
              <w:top w:val="single" w:color="auto" w:sz="12" w:space="0"/>
              <w:left w:val="single" w:color="auto" w:sz="12" w:space="0"/>
              <w:bottom w:val="single" w:color="auto" w:sz="4" w:space="0"/>
              <w:right w:val="single" w:color="auto" w:sz="4" w:space="0"/>
            </w:tcBorders>
            <w:shd w:val="clear" w:color="auto" w:fill="auto"/>
            <w:tcMar>
              <w:top w:w="107" w:type="dxa"/>
              <w:left w:w="0" w:type="dxa"/>
              <w:bottom w:w="107" w:type="dxa"/>
              <w:right w:w="129" w:type="dxa"/>
            </w:tcMar>
            <w:vAlign w:val="center"/>
          </w:tcPr>
          <w:p w14:paraId="7029DAD3">
            <w:pPr>
              <w:bidi w:val="0"/>
              <w:snapToGrid w:val="0"/>
              <w:ind w:left="0" w:leftChars="0" w:right="0" w:rightChars="0" w:firstLine="0" w:firstLineChars="0"/>
              <w:jc w:val="center"/>
              <w:rPr>
                <w:rFonts w:hint="eastAsia"/>
                <w:b/>
                <w:lang w:val="en-US" w:eastAsia="zh-CN"/>
              </w:rPr>
            </w:pPr>
            <w:r>
              <w:rPr>
                <w:rFonts w:hint="eastAsia"/>
                <w:b/>
                <w:lang w:val="en-US" w:eastAsia="zh-CN"/>
              </w:rPr>
              <w:t>mode</w:t>
            </w:r>
          </w:p>
        </w:tc>
        <w:tc>
          <w:tcPr>
            <w:tcW w:w="2643" w:type="dxa"/>
            <w:tcBorders>
              <w:top w:val="single" w:color="auto" w:sz="12"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23CCFB74">
            <w:pPr>
              <w:bidi w:val="0"/>
              <w:snapToGrid w:val="0"/>
              <w:ind w:left="0" w:leftChars="0" w:right="0" w:rightChars="0" w:firstLine="0" w:firstLineChars="0"/>
              <w:jc w:val="center"/>
              <w:rPr>
                <w:rFonts w:hint="eastAsia"/>
                <w:b/>
                <w:lang w:val="en-US" w:eastAsia="zh-CN"/>
              </w:rPr>
            </w:pPr>
            <w:r>
              <w:rPr>
                <w:rFonts w:hint="eastAsia"/>
                <w:b/>
                <w:lang w:val="en-US" w:eastAsia="zh-CN"/>
              </w:rPr>
              <w:t>短名</w:t>
            </w:r>
          </w:p>
        </w:tc>
        <w:tc>
          <w:tcPr>
            <w:tcW w:w="867" w:type="dxa"/>
            <w:tcBorders>
              <w:top w:val="single" w:color="auto" w:sz="12"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35DB3085">
            <w:pPr>
              <w:bidi w:val="0"/>
              <w:snapToGrid w:val="0"/>
              <w:ind w:left="0" w:leftChars="0" w:right="0" w:rightChars="0" w:firstLine="0" w:firstLineChars="0"/>
              <w:jc w:val="center"/>
              <w:rPr>
                <w:rFonts w:hint="eastAsia"/>
                <w:b/>
                <w:lang w:val="en-US" w:eastAsia="zh-CN"/>
              </w:rPr>
            </w:pPr>
            <w:r>
              <w:rPr>
                <w:rFonts w:hint="eastAsia"/>
                <w:b/>
                <w:lang w:val="en-US" w:eastAsia="zh-CN"/>
              </w:rPr>
              <w:t>占比</w:t>
            </w:r>
          </w:p>
        </w:tc>
        <w:tc>
          <w:tcPr>
            <w:tcW w:w="4976" w:type="dxa"/>
            <w:tcBorders>
              <w:top w:val="single" w:color="auto" w:sz="12" w:space="0"/>
              <w:left w:val="single" w:color="auto" w:sz="4" w:space="0"/>
              <w:bottom w:val="single" w:color="auto" w:sz="4" w:space="0"/>
              <w:right w:val="single" w:color="auto" w:sz="12" w:space="0"/>
            </w:tcBorders>
            <w:shd w:val="clear" w:color="auto" w:fill="auto"/>
            <w:tcMar>
              <w:top w:w="107" w:type="dxa"/>
              <w:left w:w="0" w:type="dxa"/>
              <w:bottom w:w="107" w:type="dxa"/>
              <w:right w:w="129" w:type="dxa"/>
            </w:tcMar>
            <w:vAlign w:val="center"/>
          </w:tcPr>
          <w:p w14:paraId="14FC6430">
            <w:pPr>
              <w:bidi w:val="0"/>
              <w:snapToGrid w:val="0"/>
              <w:ind w:left="0" w:leftChars="0" w:right="0" w:rightChars="0" w:firstLine="0" w:firstLineChars="0"/>
              <w:jc w:val="center"/>
              <w:rPr>
                <w:rFonts w:hint="eastAsia"/>
                <w:b/>
                <w:lang w:val="en-US" w:eastAsia="zh-CN"/>
              </w:rPr>
            </w:pPr>
            <w:r>
              <w:rPr>
                <w:rFonts w:hint="eastAsia"/>
                <w:b/>
                <w:lang w:val="en-US" w:eastAsia="zh-CN"/>
              </w:rPr>
              <w:t>核心特征</w:t>
            </w:r>
          </w:p>
        </w:tc>
      </w:tr>
      <w:tr w14:paraId="3301C8A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89" w:type="dxa"/>
            <w:tcBorders>
              <w:top w:val="single" w:color="auto" w:sz="4" w:space="0"/>
              <w:left w:val="single" w:color="auto" w:sz="12" w:space="0"/>
              <w:bottom w:val="single" w:color="auto" w:sz="4" w:space="0"/>
              <w:right w:val="single" w:color="auto" w:sz="4" w:space="0"/>
            </w:tcBorders>
            <w:shd w:val="clear" w:color="auto" w:fill="auto"/>
            <w:tcMar>
              <w:top w:w="107" w:type="dxa"/>
              <w:left w:w="0" w:type="dxa"/>
              <w:bottom w:w="107" w:type="dxa"/>
              <w:right w:w="129" w:type="dxa"/>
            </w:tcMar>
            <w:vAlign w:val="center"/>
          </w:tcPr>
          <w:p w14:paraId="53A63121">
            <w:pPr>
              <w:bidi w:val="0"/>
              <w:snapToGrid w:val="0"/>
              <w:ind w:left="0" w:leftChars="0" w:right="0" w:rightChars="0" w:firstLine="0" w:firstLineChars="0"/>
              <w:jc w:val="center"/>
              <w:rPr>
                <w:rFonts w:hint="eastAsia"/>
                <w:lang w:val="en-US" w:eastAsia="zh-CN"/>
              </w:rPr>
            </w:pPr>
            <w:r>
              <w:rPr>
                <w:rFonts w:hint="eastAsia"/>
                <w:lang w:val="en-US" w:eastAsia="zh-CN"/>
              </w:rPr>
              <w:t>0</w:t>
            </w:r>
          </w:p>
        </w:tc>
        <w:tc>
          <w:tcPr>
            <w:tcW w:w="2643"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6336166F">
            <w:pPr>
              <w:bidi w:val="0"/>
              <w:snapToGrid w:val="0"/>
              <w:ind w:left="0" w:leftChars="0" w:right="0" w:rightChars="0" w:firstLine="0" w:firstLineChars="0"/>
              <w:jc w:val="center"/>
              <w:rPr>
                <w:rFonts w:hint="eastAsia"/>
                <w:lang w:val="en-US" w:eastAsia="zh-CN"/>
              </w:rPr>
            </w:pPr>
            <w:r>
              <w:rPr>
                <w:rFonts w:hint="eastAsia"/>
                <w:lang w:val="en-US" w:eastAsia="zh-CN"/>
              </w:rPr>
              <w:t>参与稳定-学业偏弱型</w:t>
            </w:r>
          </w:p>
        </w:tc>
        <w:tc>
          <w:tcPr>
            <w:tcW w:w="867"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08A5387F">
            <w:pPr>
              <w:bidi w:val="0"/>
              <w:snapToGrid w:val="0"/>
              <w:ind w:left="0" w:leftChars="0" w:right="0" w:rightChars="0" w:firstLine="0" w:firstLineChars="0"/>
              <w:jc w:val="center"/>
              <w:rPr>
                <w:rFonts w:hint="eastAsia"/>
                <w:lang w:val="en-US" w:eastAsia="zh-CN"/>
              </w:rPr>
            </w:pPr>
            <w:r>
              <w:rPr>
                <w:rFonts w:hint="eastAsia"/>
                <w:lang w:val="en-US" w:eastAsia="zh-CN"/>
              </w:rPr>
              <w:t>12.1%</w:t>
            </w:r>
          </w:p>
        </w:tc>
        <w:tc>
          <w:tcPr>
            <w:tcW w:w="4976" w:type="dxa"/>
            <w:tcBorders>
              <w:top w:val="single" w:color="auto" w:sz="4" w:space="0"/>
              <w:left w:val="single" w:color="auto" w:sz="4" w:space="0"/>
              <w:bottom w:val="single" w:color="auto" w:sz="4" w:space="0"/>
              <w:right w:val="single" w:color="auto" w:sz="12" w:space="0"/>
            </w:tcBorders>
            <w:shd w:val="clear" w:color="auto" w:fill="auto"/>
            <w:tcMar>
              <w:top w:w="107" w:type="dxa"/>
              <w:left w:w="0" w:type="dxa"/>
              <w:bottom w:w="107" w:type="dxa"/>
              <w:right w:w="129" w:type="dxa"/>
            </w:tcMar>
            <w:vAlign w:val="center"/>
          </w:tcPr>
          <w:p w14:paraId="5406E34D">
            <w:pPr>
              <w:bidi w:val="0"/>
              <w:snapToGrid w:val="0"/>
              <w:ind w:left="0" w:leftChars="0" w:right="0" w:rightChars="0" w:firstLine="0" w:firstLineChars="0"/>
              <w:jc w:val="center"/>
              <w:rPr>
                <w:rFonts w:hint="eastAsia"/>
                <w:lang w:val="en-US" w:eastAsia="zh-CN"/>
              </w:rPr>
            </w:pPr>
            <w:r>
              <w:rPr>
                <w:rFonts w:hint="eastAsia"/>
                <w:lang w:val="en-US" w:eastAsia="zh-CN"/>
              </w:rPr>
              <w:t>学业偏低，出勤与线上参与尚可</w:t>
            </w:r>
          </w:p>
        </w:tc>
      </w:tr>
      <w:tr w14:paraId="4851F9C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89" w:type="dxa"/>
            <w:tcBorders>
              <w:top w:val="single" w:color="auto" w:sz="4" w:space="0"/>
              <w:left w:val="single" w:color="auto" w:sz="12" w:space="0"/>
              <w:bottom w:val="single" w:color="auto" w:sz="4" w:space="0"/>
              <w:right w:val="single" w:color="auto" w:sz="4" w:space="0"/>
            </w:tcBorders>
            <w:shd w:val="clear" w:color="auto" w:fill="auto"/>
            <w:tcMar>
              <w:top w:w="107" w:type="dxa"/>
              <w:left w:w="0" w:type="dxa"/>
              <w:bottom w:w="107" w:type="dxa"/>
              <w:right w:w="129" w:type="dxa"/>
            </w:tcMar>
            <w:vAlign w:val="center"/>
          </w:tcPr>
          <w:p w14:paraId="7475A52F">
            <w:pPr>
              <w:bidi w:val="0"/>
              <w:snapToGrid w:val="0"/>
              <w:ind w:left="0" w:leftChars="0" w:right="0" w:rightChars="0" w:firstLine="0" w:firstLineChars="0"/>
              <w:jc w:val="center"/>
              <w:rPr>
                <w:rFonts w:hint="eastAsia"/>
                <w:lang w:val="en-US" w:eastAsia="zh-CN"/>
              </w:rPr>
            </w:pPr>
            <w:r>
              <w:rPr>
                <w:rFonts w:hint="eastAsia"/>
                <w:lang w:val="en-US" w:eastAsia="zh-CN"/>
              </w:rPr>
              <w:t>1</w:t>
            </w:r>
          </w:p>
        </w:tc>
        <w:tc>
          <w:tcPr>
            <w:tcW w:w="2643"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595B8CE1">
            <w:pPr>
              <w:bidi w:val="0"/>
              <w:snapToGrid w:val="0"/>
              <w:ind w:left="0" w:leftChars="0" w:right="0" w:rightChars="0" w:firstLine="0" w:firstLineChars="0"/>
              <w:jc w:val="center"/>
              <w:rPr>
                <w:rFonts w:hint="eastAsia"/>
                <w:lang w:val="en-US" w:eastAsia="zh-CN"/>
              </w:rPr>
            </w:pPr>
            <w:r>
              <w:rPr>
                <w:rFonts w:hint="eastAsia"/>
                <w:lang w:val="en-US" w:eastAsia="zh-CN"/>
              </w:rPr>
              <w:t>高风险波动型</w:t>
            </w:r>
          </w:p>
        </w:tc>
        <w:tc>
          <w:tcPr>
            <w:tcW w:w="867"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1A375B30">
            <w:pPr>
              <w:bidi w:val="0"/>
              <w:snapToGrid w:val="0"/>
              <w:ind w:left="0" w:leftChars="0" w:right="0" w:rightChars="0" w:firstLine="0" w:firstLineChars="0"/>
              <w:jc w:val="center"/>
              <w:rPr>
                <w:rFonts w:hint="eastAsia"/>
                <w:lang w:val="en-US" w:eastAsia="zh-CN"/>
              </w:rPr>
            </w:pPr>
            <w:r>
              <w:rPr>
                <w:rFonts w:hint="eastAsia"/>
                <w:lang w:val="en-US" w:eastAsia="zh-CN"/>
              </w:rPr>
              <w:t>3.2%</w:t>
            </w:r>
          </w:p>
        </w:tc>
        <w:tc>
          <w:tcPr>
            <w:tcW w:w="4976" w:type="dxa"/>
            <w:tcBorders>
              <w:top w:val="single" w:color="auto" w:sz="4" w:space="0"/>
              <w:left w:val="single" w:color="auto" w:sz="4" w:space="0"/>
              <w:bottom w:val="single" w:color="auto" w:sz="4" w:space="0"/>
              <w:right w:val="single" w:color="auto" w:sz="12" w:space="0"/>
            </w:tcBorders>
            <w:shd w:val="clear" w:color="auto" w:fill="auto"/>
            <w:tcMar>
              <w:top w:w="107" w:type="dxa"/>
              <w:left w:w="0" w:type="dxa"/>
              <w:bottom w:w="107" w:type="dxa"/>
              <w:right w:w="129" w:type="dxa"/>
            </w:tcMar>
            <w:vAlign w:val="center"/>
          </w:tcPr>
          <w:p w14:paraId="3C2150B0">
            <w:pPr>
              <w:bidi w:val="0"/>
              <w:snapToGrid w:val="0"/>
              <w:ind w:left="0" w:leftChars="0" w:right="0" w:rightChars="0" w:firstLine="0" w:firstLineChars="0"/>
              <w:jc w:val="center"/>
              <w:rPr>
                <w:rFonts w:hint="eastAsia"/>
                <w:lang w:val="en-US" w:eastAsia="zh-CN"/>
              </w:rPr>
            </w:pPr>
            <w:r>
              <w:rPr>
                <w:rFonts w:hint="eastAsia"/>
                <w:lang w:val="en-US" w:eastAsia="zh-CN"/>
              </w:rPr>
              <w:t>学业显著偏低，行为波动明显，风险最高</w:t>
            </w:r>
          </w:p>
        </w:tc>
      </w:tr>
      <w:tr w14:paraId="17E0585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89" w:type="dxa"/>
            <w:tcBorders>
              <w:top w:val="single" w:color="auto" w:sz="4" w:space="0"/>
              <w:left w:val="single" w:color="auto" w:sz="12" w:space="0"/>
              <w:bottom w:val="single" w:color="auto" w:sz="4" w:space="0"/>
              <w:right w:val="single" w:color="auto" w:sz="4" w:space="0"/>
            </w:tcBorders>
            <w:shd w:val="clear" w:color="auto" w:fill="auto"/>
            <w:tcMar>
              <w:top w:w="107" w:type="dxa"/>
              <w:left w:w="0" w:type="dxa"/>
              <w:bottom w:w="107" w:type="dxa"/>
              <w:right w:w="129" w:type="dxa"/>
            </w:tcMar>
            <w:vAlign w:val="center"/>
          </w:tcPr>
          <w:p w14:paraId="10D8B857">
            <w:pPr>
              <w:bidi w:val="0"/>
              <w:snapToGrid w:val="0"/>
              <w:ind w:left="0" w:leftChars="0" w:right="0" w:rightChars="0" w:firstLine="0" w:firstLineChars="0"/>
              <w:jc w:val="center"/>
              <w:rPr>
                <w:rFonts w:hint="eastAsia"/>
                <w:lang w:val="en-US" w:eastAsia="zh-CN"/>
              </w:rPr>
            </w:pPr>
            <w:r>
              <w:rPr>
                <w:rFonts w:hint="eastAsia"/>
                <w:lang w:val="en-US" w:eastAsia="zh-CN"/>
              </w:rPr>
              <w:t>2</w:t>
            </w:r>
          </w:p>
        </w:tc>
        <w:tc>
          <w:tcPr>
            <w:tcW w:w="2643"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6A35066B">
            <w:pPr>
              <w:bidi w:val="0"/>
              <w:snapToGrid w:val="0"/>
              <w:ind w:left="0" w:leftChars="0" w:right="0" w:rightChars="0" w:firstLine="0" w:firstLineChars="0"/>
              <w:jc w:val="center"/>
              <w:rPr>
                <w:rFonts w:hint="eastAsia"/>
                <w:lang w:val="en-US" w:eastAsia="zh-CN"/>
              </w:rPr>
            </w:pPr>
            <w:r>
              <w:rPr>
                <w:rFonts w:hint="eastAsia"/>
                <w:lang w:val="en-US" w:eastAsia="zh-CN"/>
              </w:rPr>
              <w:t>学业优势-参与积极型</w:t>
            </w:r>
          </w:p>
        </w:tc>
        <w:tc>
          <w:tcPr>
            <w:tcW w:w="867"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640ACE90">
            <w:pPr>
              <w:bidi w:val="0"/>
              <w:snapToGrid w:val="0"/>
              <w:ind w:left="0" w:leftChars="0" w:right="0" w:rightChars="0" w:firstLine="0" w:firstLineChars="0"/>
              <w:jc w:val="center"/>
              <w:rPr>
                <w:rFonts w:hint="eastAsia"/>
                <w:lang w:val="en-US" w:eastAsia="zh-CN"/>
              </w:rPr>
            </w:pPr>
            <w:r>
              <w:rPr>
                <w:rFonts w:hint="eastAsia"/>
                <w:lang w:val="en-US" w:eastAsia="zh-CN"/>
              </w:rPr>
              <w:t>21.0%</w:t>
            </w:r>
          </w:p>
        </w:tc>
        <w:tc>
          <w:tcPr>
            <w:tcW w:w="4976" w:type="dxa"/>
            <w:tcBorders>
              <w:top w:val="single" w:color="auto" w:sz="4" w:space="0"/>
              <w:left w:val="single" w:color="auto" w:sz="4" w:space="0"/>
              <w:bottom w:val="single" w:color="auto" w:sz="4" w:space="0"/>
              <w:right w:val="single" w:color="auto" w:sz="12" w:space="0"/>
            </w:tcBorders>
            <w:shd w:val="clear" w:color="auto" w:fill="auto"/>
            <w:tcMar>
              <w:top w:w="107" w:type="dxa"/>
              <w:left w:w="0" w:type="dxa"/>
              <w:bottom w:w="107" w:type="dxa"/>
              <w:right w:w="129" w:type="dxa"/>
            </w:tcMar>
            <w:vAlign w:val="center"/>
          </w:tcPr>
          <w:p w14:paraId="56C525EF">
            <w:pPr>
              <w:bidi w:val="0"/>
              <w:snapToGrid w:val="0"/>
              <w:ind w:left="0" w:leftChars="0" w:right="0" w:rightChars="0" w:firstLine="0" w:firstLineChars="0"/>
              <w:jc w:val="center"/>
              <w:rPr>
                <w:rFonts w:hint="eastAsia"/>
                <w:lang w:val="en-US" w:eastAsia="zh-CN"/>
              </w:rPr>
            </w:pPr>
            <w:r>
              <w:rPr>
                <w:rFonts w:hint="eastAsia"/>
                <w:lang w:val="en-US" w:eastAsia="zh-CN"/>
              </w:rPr>
              <w:t>学业与参与双高，规模最大的优质群体</w:t>
            </w:r>
          </w:p>
        </w:tc>
      </w:tr>
      <w:tr w14:paraId="09BE434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89" w:type="dxa"/>
            <w:tcBorders>
              <w:top w:val="single" w:color="auto" w:sz="4" w:space="0"/>
              <w:left w:val="single" w:color="auto" w:sz="12" w:space="0"/>
              <w:bottom w:val="single" w:color="auto" w:sz="4" w:space="0"/>
              <w:right w:val="single" w:color="auto" w:sz="4" w:space="0"/>
            </w:tcBorders>
            <w:shd w:val="clear" w:color="auto" w:fill="auto"/>
            <w:tcMar>
              <w:top w:w="107" w:type="dxa"/>
              <w:left w:w="0" w:type="dxa"/>
              <w:bottom w:w="107" w:type="dxa"/>
              <w:right w:w="129" w:type="dxa"/>
            </w:tcMar>
            <w:vAlign w:val="center"/>
          </w:tcPr>
          <w:p w14:paraId="2F6A6866">
            <w:pPr>
              <w:bidi w:val="0"/>
              <w:snapToGrid w:val="0"/>
              <w:ind w:left="0" w:leftChars="0" w:right="0" w:rightChars="0" w:firstLine="0" w:firstLineChars="0"/>
              <w:jc w:val="center"/>
              <w:rPr>
                <w:rFonts w:hint="eastAsia"/>
                <w:lang w:val="en-US" w:eastAsia="zh-CN"/>
              </w:rPr>
            </w:pPr>
            <w:r>
              <w:rPr>
                <w:rFonts w:hint="eastAsia"/>
                <w:lang w:val="en-US" w:eastAsia="zh-CN"/>
              </w:rPr>
              <w:t>3</w:t>
            </w:r>
          </w:p>
        </w:tc>
        <w:tc>
          <w:tcPr>
            <w:tcW w:w="2643"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649CA4C1">
            <w:pPr>
              <w:bidi w:val="0"/>
              <w:snapToGrid w:val="0"/>
              <w:ind w:left="0" w:leftChars="0" w:right="0" w:rightChars="0" w:firstLine="0" w:firstLineChars="0"/>
              <w:jc w:val="center"/>
              <w:rPr>
                <w:rFonts w:hint="eastAsia"/>
                <w:lang w:val="en-US" w:eastAsia="zh-CN"/>
              </w:rPr>
            </w:pPr>
            <w:r>
              <w:rPr>
                <w:rFonts w:hint="eastAsia"/>
                <w:lang w:val="en-US" w:eastAsia="zh-CN"/>
              </w:rPr>
              <w:t>发展成就突出型</w:t>
            </w:r>
          </w:p>
        </w:tc>
        <w:tc>
          <w:tcPr>
            <w:tcW w:w="867"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2941F2F3">
            <w:pPr>
              <w:bidi w:val="0"/>
              <w:snapToGrid w:val="0"/>
              <w:ind w:left="0" w:leftChars="0" w:right="0" w:rightChars="0" w:firstLine="0" w:firstLineChars="0"/>
              <w:jc w:val="center"/>
              <w:rPr>
                <w:rFonts w:hint="eastAsia"/>
                <w:lang w:val="en-US" w:eastAsia="zh-CN"/>
              </w:rPr>
            </w:pPr>
            <w:r>
              <w:rPr>
                <w:rFonts w:hint="eastAsia"/>
                <w:lang w:val="en-US" w:eastAsia="zh-CN"/>
              </w:rPr>
              <w:t>2.5%</w:t>
            </w:r>
          </w:p>
        </w:tc>
        <w:tc>
          <w:tcPr>
            <w:tcW w:w="4976" w:type="dxa"/>
            <w:tcBorders>
              <w:top w:val="single" w:color="auto" w:sz="4" w:space="0"/>
              <w:left w:val="single" w:color="auto" w:sz="4" w:space="0"/>
              <w:bottom w:val="single" w:color="auto" w:sz="4" w:space="0"/>
              <w:right w:val="single" w:color="auto" w:sz="12" w:space="0"/>
            </w:tcBorders>
            <w:shd w:val="clear" w:color="auto" w:fill="auto"/>
            <w:tcMar>
              <w:top w:w="107" w:type="dxa"/>
              <w:left w:w="0" w:type="dxa"/>
              <w:bottom w:w="107" w:type="dxa"/>
              <w:right w:w="129" w:type="dxa"/>
            </w:tcMar>
            <w:vAlign w:val="center"/>
          </w:tcPr>
          <w:p w14:paraId="4D65E89D">
            <w:pPr>
              <w:bidi w:val="0"/>
              <w:snapToGrid w:val="0"/>
              <w:ind w:left="0" w:leftChars="0" w:right="0" w:rightChars="0" w:firstLine="0" w:firstLineChars="0"/>
              <w:jc w:val="center"/>
              <w:rPr>
                <w:rFonts w:hint="eastAsia"/>
                <w:lang w:val="en-US" w:eastAsia="zh-CN"/>
              </w:rPr>
            </w:pPr>
            <w:r>
              <w:rPr>
                <w:rFonts w:hint="eastAsia"/>
                <w:lang w:val="en-US" w:eastAsia="zh-CN"/>
              </w:rPr>
              <w:t>奖学金/竞赛维度显著高于总体</w:t>
            </w:r>
          </w:p>
        </w:tc>
      </w:tr>
      <w:tr w14:paraId="574E7C25">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89" w:type="dxa"/>
            <w:tcBorders>
              <w:top w:val="single" w:color="auto" w:sz="4" w:space="0"/>
              <w:left w:val="single" w:color="auto" w:sz="12" w:space="0"/>
              <w:bottom w:val="single" w:color="auto" w:sz="4" w:space="0"/>
              <w:right w:val="single" w:color="auto" w:sz="4" w:space="0"/>
            </w:tcBorders>
            <w:shd w:val="clear" w:color="auto" w:fill="auto"/>
            <w:tcMar>
              <w:top w:w="107" w:type="dxa"/>
              <w:left w:w="0" w:type="dxa"/>
              <w:bottom w:w="107" w:type="dxa"/>
              <w:right w:w="129" w:type="dxa"/>
            </w:tcMar>
            <w:vAlign w:val="center"/>
          </w:tcPr>
          <w:p w14:paraId="041B4D53">
            <w:pPr>
              <w:bidi w:val="0"/>
              <w:snapToGrid w:val="0"/>
              <w:ind w:left="0" w:leftChars="0" w:right="0" w:rightChars="0" w:firstLine="0" w:firstLineChars="0"/>
              <w:jc w:val="center"/>
              <w:rPr>
                <w:rFonts w:hint="eastAsia"/>
                <w:lang w:val="en-US" w:eastAsia="zh-CN"/>
              </w:rPr>
            </w:pPr>
            <w:r>
              <w:rPr>
                <w:rFonts w:hint="eastAsia"/>
                <w:lang w:val="en-US" w:eastAsia="zh-CN"/>
              </w:rPr>
              <w:t>4</w:t>
            </w:r>
          </w:p>
        </w:tc>
        <w:tc>
          <w:tcPr>
            <w:tcW w:w="2643"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36C58308">
            <w:pPr>
              <w:bidi w:val="0"/>
              <w:snapToGrid w:val="0"/>
              <w:ind w:left="0" w:leftChars="0" w:right="0" w:rightChars="0" w:firstLine="0" w:firstLineChars="0"/>
              <w:jc w:val="center"/>
              <w:rPr>
                <w:rFonts w:hint="eastAsia"/>
                <w:lang w:val="en-US" w:eastAsia="zh-CN"/>
              </w:rPr>
            </w:pPr>
            <w:r>
              <w:rPr>
                <w:rFonts w:hint="eastAsia"/>
                <w:lang w:val="en-US" w:eastAsia="zh-CN"/>
              </w:rPr>
              <w:t>学业中上-参与偏低型</w:t>
            </w:r>
          </w:p>
        </w:tc>
        <w:tc>
          <w:tcPr>
            <w:tcW w:w="867"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2A0C4E55">
            <w:pPr>
              <w:bidi w:val="0"/>
              <w:snapToGrid w:val="0"/>
              <w:ind w:left="0" w:leftChars="0" w:right="0" w:rightChars="0" w:firstLine="0" w:firstLineChars="0"/>
              <w:jc w:val="center"/>
              <w:rPr>
                <w:rFonts w:hint="eastAsia"/>
                <w:lang w:val="en-US" w:eastAsia="zh-CN"/>
              </w:rPr>
            </w:pPr>
            <w:r>
              <w:rPr>
                <w:rFonts w:hint="eastAsia"/>
                <w:lang w:val="en-US" w:eastAsia="zh-CN"/>
              </w:rPr>
              <w:t>8.3%</w:t>
            </w:r>
          </w:p>
        </w:tc>
        <w:tc>
          <w:tcPr>
            <w:tcW w:w="4976" w:type="dxa"/>
            <w:tcBorders>
              <w:top w:val="single" w:color="auto" w:sz="4" w:space="0"/>
              <w:left w:val="single" w:color="auto" w:sz="4" w:space="0"/>
              <w:bottom w:val="single" w:color="auto" w:sz="4" w:space="0"/>
              <w:right w:val="single" w:color="auto" w:sz="12" w:space="0"/>
            </w:tcBorders>
            <w:shd w:val="clear" w:color="auto" w:fill="auto"/>
            <w:tcMar>
              <w:top w:w="107" w:type="dxa"/>
              <w:left w:w="0" w:type="dxa"/>
              <w:bottom w:w="107" w:type="dxa"/>
              <w:right w:w="129" w:type="dxa"/>
            </w:tcMar>
            <w:vAlign w:val="center"/>
          </w:tcPr>
          <w:p w14:paraId="3F3702DF">
            <w:pPr>
              <w:bidi w:val="0"/>
              <w:snapToGrid w:val="0"/>
              <w:ind w:left="0" w:leftChars="0" w:right="0" w:rightChars="0" w:firstLine="0" w:firstLineChars="0"/>
              <w:jc w:val="center"/>
              <w:rPr>
                <w:rFonts w:hint="eastAsia"/>
                <w:lang w:val="en-US" w:eastAsia="zh-CN"/>
              </w:rPr>
            </w:pPr>
            <w:r>
              <w:rPr>
                <w:rFonts w:hint="eastAsia"/>
                <w:lang w:val="en-US" w:eastAsia="zh-CN"/>
              </w:rPr>
              <w:t>学业尚可但课堂参与偏低</w:t>
            </w:r>
          </w:p>
        </w:tc>
      </w:tr>
      <w:tr w14:paraId="125FB60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89" w:type="dxa"/>
            <w:tcBorders>
              <w:top w:val="single" w:color="auto" w:sz="4" w:space="0"/>
              <w:left w:val="single" w:color="auto" w:sz="12" w:space="0"/>
              <w:bottom w:val="single" w:color="auto" w:sz="4" w:space="0"/>
              <w:right w:val="single" w:color="auto" w:sz="4" w:space="0"/>
            </w:tcBorders>
            <w:shd w:val="clear" w:color="auto" w:fill="auto"/>
            <w:tcMar>
              <w:top w:w="107" w:type="dxa"/>
              <w:left w:w="0" w:type="dxa"/>
              <w:bottom w:w="107" w:type="dxa"/>
              <w:right w:w="129" w:type="dxa"/>
            </w:tcMar>
            <w:vAlign w:val="center"/>
          </w:tcPr>
          <w:p w14:paraId="2DB9E4E6">
            <w:pPr>
              <w:bidi w:val="0"/>
              <w:snapToGrid w:val="0"/>
              <w:ind w:left="0" w:leftChars="0" w:right="0" w:rightChars="0" w:firstLine="0" w:firstLineChars="0"/>
              <w:jc w:val="center"/>
              <w:rPr>
                <w:rFonts w:hint="eastAsia"/>
                <w:lang w:val="en-US" w:eastAsia="zh-CN"/>
              </w:rPr>
            </w:pPr>
            <w:r>
              <w:rPr>
                <w:rFonts w:hint="eastAsia"/>
                <w:lang w:val="en-US" w:eastAsia="zh-CN"/>
              </w:rPr>
              <w:t>5</w:t>
            </w:r>
          </w:p>
        </w:tc>
        <w:tc>
          <w:tcPr>
            <w:tcW w:w="2643"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5DD59E8B">
            <w:pPr>
              <w:bidi w:val="0"/>
              <w:snapToGrid w:val="0"/>
              <w:ind w:left="0" w:leftChars="0" w:right="0" w:rightChars="0" w:firstLine="0" w:firstLineChars="0"/>
              <w:jc w:val="center"/>
              <w:rPr>
                <w:rFonts w:hint="eastAsia"/>
                <w:lang w:val="en-US" w:eastAsia="zh-CN"/>
              </w:rPr>
            </w:pPr>
            <w:r>
              <w:rPr>
                <w:rFonts w:hint="eastAsia"/>
                <w:lang w:val="en-US" w:eastAsia="zh-CN"/>
              </w:rPr>
              <w:t>线上低活跃型</w:t>
            </w:r>
          </w:p>
        </w:tc>
        <w:tc>
          <w:tcPr>
            <w:tcW w:w="867"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51C015FE">
            <w:pPr>
              <w:bidi w:val="0"/>
              <w:snapToGrid w:val="0"/>
              <w:ind w:left="0" w:leftChars="0" w:right="0" w:rightChars="0" w:firstLine="0" w:firstLineChars="0"/>
              <w:jc w:val="center"/>
              <w:rPr>
                <w:rFonts w:hint="eastAsia"/>
                <w:lang w:val="en-US" w:eastAsia="zh-CN"/>
              </w:rPr>
            </w:pPr>
            <w:r>
              <w:rPr>
                <w:rFonts w:hint="eastAsia"/>
                <w:lang w:val="en-US" w:eastAsia="zh-CN"/>
              </w:rPr>
              <w:t>3.0%</w:t>
            </w:r>
          </w:p>
        </w:tc>
        <w:tc>
          <w:tcPr>
            <w:tcW w:w="4976" w:type="dxa"/>
            <w:tcBorders>
              <w:top w:val="single" w:color="auto" w:sz="4" w:space="0"/>
              <w:left w:val="single" w:color="auto" w:sz="4" w:space="0"/>
              <w:bottom w:val="single" w:color="auto" w:sz="4" w:space="0"/>
              <w:right w:val="single" w:color="auto" w:sz="12" w:space="0"/>
            </w:tcBorders>
            <w:shd w:val="clear" w:color="auto" w:fill="auto"/>
            <w:tcMar>
              <w:top w:w="107" w:type="dxa"/>
              <w:left w:w="0" w:type="dxa"/>
              <w:bottom w:w="107" w:type="dxa"/>
              <w:right w:w="129" w:type="dxa"/>
            </w:tcMar>
            <w:vAlign w:val="center"/>
          </w:tcPr>
          <w:p w14:paraId="66F13F3E">
            <w:pPr>
              <w:bidi w:val="0"/>
              <w:snapToGrid w:val="0"/>
              <w:ind w:left="0" w:leftChars="0" w:right="0" w:rightChars="0" w:firstLine="0" w:firstLineChars="0"/>
              <w:jc w:val="center"/>
              <w:rPr>
                <w:rFonts w:hint="eastAsia"/>
                <w:lang w:val="en-US" w:eastAsia="zh-CN"/>
              </w:rPr>
            </w:pPr>
            <w:r>
              <w:rPr>
                <w:rFonts w:hint="eastAsia"/>
                <w:lang w:val="en-US" w:eastAsia="zh-CN"/>
              </w:rPr>
              <w:t>线上学习维度显著偏低，特征最突出</w:t>
            </w:r>
          </w:p>
        </w:tc>
      </w:tr>
      <w:tr w14:paraId="727E640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89" w:type="dxa"/>
            <w:tcBorders>
              <w:top w:val="single" w:color="auto" w:sz="4" w:space="0"/>
              <w:left w:val="single" w:color="auto" w:sz="12" w:space="0"/>
              <w:bottom w:val="single" w:color="auto" w:sz="4" w:space="0"/>
              <w:right w:val="single" w:color="auto" w:sz="4" w:space="0"/>
            </w:tcBorders>
            <w:shd w:val="clear" w:color="auto" w:fill="auto"/>
            <w:tcMar>
              <w:top w:w="107" w:type="dxa"/>
              <w:left w:w="0" w:type="dxa"/>
              <w:bottom w:w="107" w:type="dxa"/>
              <w:right w:w="129" w:type="dxa"/>
            </w:tcMar>
            <w:vAlign w:val="center"/>
          </w:tcPr>
          <w:p w14:paraId="77150441">
            <w:pPr>
              <w:bidi w:val="0"/>
              <w:snapToGrid w:val="0"/>
              <w:ind w:left="0" w:leftChars="0" w:right="0" w:rightChars="0" w:firstLine="0" w:firstLineChars="0"/>
              <w:jc w:val="center"/>
              <w:rPr>
                <w:rFonts w:hint="eastAsia"/>
                <w:lang w:val="en-US" w:eastAsia="zh-CN"/>
              </w:rPr>
            </w:pPr>
            <w:r>
              <w:rPr>
                <w:rFonts w:hint="eastAsia"/>
                <w:lang w:val="en-US" w:eastAsia="zh-CN"/>
              </w:rPr>
              <w:t>6</w:t>
            </w:r>
          </w:p>
        </w:tc>
        <w:tc>
          <w:tcPr>
            <w:tcW w:w="2643"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1510E3A5">
            <w:pPr>
              <w:bidi w:val="0"/>
              <w:snapToGrid w:val="0"/>
              <w:ind w:left="0" w:leftChars="0" w:right="0" w:rightChars="0" w:firstLine="0" w:firstLineChars="0"/>
              <w:jc w:val="center"/>
              <w:rPr>
                <w:rFonts w:hint="eastAsia"/>
                <w:lang w:val="en-US" w:eastAsia="zh-CN"/>
              </w:rPr>
            </w:pPr>
            <w:r>
              <w:rPr>
                <w:rFonts w:hint="eastAsia"/>
                <w:lang w:val="en-US" w:eastAsia="zh-CN"/>
              </w:rPr>
              <w:t>学业薄弱-参与偏低型</w:t>
            </w:r>
          </w:p>
        </w:tc>
        <w:tc>
          <w:tcPr>
            <w:tcW w:w="867" w:type="dxa"/>
            <w:tcBorders>
              <w:top w:val="single" w:color="auto" w:sz="4" w:space="0"/>
              <w:left w:val="single" w:color="auto" w:sz="4" w:space="0"/>
              <w:bottom w:val="single" w:color="auto" w:sz="4" w:space="0"/>
              <w:right w:val="single" w:color="auto" w:sz="4" w:space="0"/>
            </w:tcBorders>
            <w:shd w:val="clear" w:color="auto" w:fill="auto"/>
            <w:tcMar>
              <w:top w:w="107" w:type="dxa"/>
              <w:left w:w="0" w:type="dxa"/>
              <w:bottom w:w="107" w:type="dxa"/>
              <w:right w:w="129" w:type="dxa"/>
            </w:tcMar>
            <w:vAlign w:val="center"/>
          </w:tcPr>
          <w:p w14:paraId="76D844DA">
            <w:pPr>
              <w:bidi w:val="0"/>
              <w:snapToGrid w:val="0"/>
              <w:ind w:left="0" w:leftChars="0" w:right="0" w:rightChars="0" w:firstLine="0" w:firstLineChars="0"/>
              <w:jc w:val="center"/>
              <w:rPr>
                <w:rFonts w:hint="eastAsia"/>
                <w:lang w:val="en-US" w:eastAsia="zh-CN"/>
              </w:rPr>
            </w:pPr>
            <w:r>
              <w:rPr>
                <w:rFonts w:hint="eastAsia"/>
                <w:lang w:val="en-US" w:eastAsia="zh-CN"/>
              </w:rPr>
              <w:t>14.4%</w:t>
            </w:r>
          </w:p>
        </w:tc>
        <w:tc>
          <w:tcPr>
            <w:tcW w:w="4976" w:type="dxa"/>
            <w:tcBorders>
              <w:top w:val="single" w:color="auto" w:sz="4" w:space="0"/>
              <w:left w:val="single" w:color="auto" w:sz="4" w:space="0"/>
              <w:bottom w:val="single" w:color="auto" w:sz="4" w:space="0"/>
              <w:right w:val="single" w:color="auto" w:sz="12" w:space="0"/>
            </w:tcBorders>
            <w:shd w:val="clear" w:color="auto" w:fill="auto"/>
            <w:tcMar>
              <w:top w:w="107" w:type="dxa"/>
              <w:left w:w="0" w:type="dxa"/>
              <w:bottom w:w="107" w:type="dxa"/>
              <w:right w:w="129" w:type="dxa"/>
            </w:tcMar>
            <w:vAlign w:val="center"/>
          </w:tcPr>
          <w:p w14:paraId="73854154">
            <w:pPr>
              <w:bidi w:val="0"/>
              <w:snapToGrid w:val="0"/>
              <w:ind w:left="0" w:leftChars="0" w:right="0" w:rightChars="0" w:firstLine="0" w:firstLineChars="0"/>
              <w:jc w:val="center"/>
              <w:rPr>
                <w:rFonts w:hint="eastAsia"/>
                <w:lang w:val="en-US" w:eastAsia="zh-CN"/>
              </w:rPr>
            </w:pPr>
            <w:r>
              <w:rPr>
                <w:rFonts w:hint="eastAsia"/>
                <w:lang w:val="en-US" w:eastAsia="zh-CN"/>
              </w:rPr>
              <w:t>学业与参与双低，需重点关注</w:t>
            </w:r>
          </w:p>
        </w:tc>
      </w:tr>
      <w:tr w14:paraId="29E0817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89" w:type="dxa"/>
            <w:tcBorders>
              <w:top w:val="single" w:color="auto" w:sz="4" w:space="0"/>
              <w:left w:val="single" w:color="auto" w:sz="12" w:space="0"/>
              <w:bottom w:val="single" w:color="auto" w:sz="12" w:space="0"/>
              <w:right w:val="single" w:color="auto" w:sz="4" w:space="0"/>
            </w:tcBorders>
            <w:shd w:val="clear" w:color="auto" w:fill="auto"/>
            <w:tcMar>
              <w:top w:w="107" w:type="dxa"/>
              <w:left w:w="0" w:type="dxa"/>
              <w:bottom w:w="107" w:type="dxa"/>
              <w:right w:w="129" w:type="dxa"/>
            </w:tcMar>
            <w:vAlign w:val="center"/>
          </w:tcPr>
          <w:p w14:paraId="200BD8D3">
            <w:pPr>
              <w:bidi w:val="0"/>
              <w:snapToGrid w:val="0"/>
              <w:ind w:left="0" w:leftChars="0" w:right="0" w:rightChars="0" w:firstLine="0" w:firstLineChars="0"/>
              <w:jc w:val="center"/>
              <w:rPr>
                <w:rFonts w:hint="eastAsia"/>
                <w:lang w:val="en-US" w:eastAsia="zh-CN"/>
              </w:rPr>
            </w:pPr>
            <w:r>
              <w:rPr>
                <w:rFonts w:hint="eastAsia"/>
                <w:lang w:val="en-US" w:eastAsia="zh-CN"/>
              </w:rPr>
              <w:t>7</w:t>
            </w:r>
          </w:p>
        </w:tc>
        <w:tc>
          <w:tcPr>
            <w:tcW w:w="2643" w:type="dxa"/>
            <w:tcBorders>
              <w:top w:val="single" w:color="auto" w:sz="4" w:space="0"/>
              <w:left w:val="single" w:color="auto" w:sz="4" w:space="0"/>
              <w:bottom w:val="single" w:color="auto" w:sz="12" w:space="0"/>
              <w:right w:val="single" w:color="auto" w:sz="4" w:space="0"/>
            </w:tcBorders>
            <w:shd w:val="clear" w:color="auto" w:fill="auto"/>
            <w:tcMar>
              <w:top w:w="107" w:type="dxa"/>
              <w:left w:w="0" w:type="dxa"/>
              <w:bottom w:w="107" w:type="dxa"/>
              <w:right w:w="129" w:type="dxa"/>
            </w:tcMar>
            <w:vAlign w:val="center"/>
          </w:tcPr>
          <w:p w14:paraId="02061F0A">
            <w:pPr>
              <w:bidi w:val="0"/>
              <w:snapToGrid w:val="0"/>
              <w:ind w:left="0" w:leftChars="0" w:right="0" w:rightChars="0" w:firstLine="0" w:firstLineChars="0"/>
              <w:jc w:val="center"/>
              <w:rPr>
                <w:rFonts w:hint="eastAsia"/>
                <w:lang w:val="en-US" w:eastAsia="zh-CN"/>
              </w:rPr>
            </w:pPr>
            <w:r>
              <w:rPr>
                <w:rFonts w:hint="eastAsia"/>
                <w:lang w:val="en-US" w:eastAsia="zh-CN"/>
              </w:rPr>
              <w:t>主流均衡型</w:t>
            </w:r>
          </w:p>
        </w:tc>
        <w:tc>
          <w:tcPr>
            <w:tcW w:w="867" w:type="dxa"/>
            <w:tcBorders>
              <w:top w:val="single" w:color="auto" w:sz="4" w:space="0"/>
              <w:left w:val="single" w:color="auto" w:sz="4" w:space="0"/>
              <w:bottom w:val="single" w:color="auto" w:sz="12" w:space="0"/>
              <w:right w:val="single" w:color="auto" w:sz="4" w:space="0"/>
            </w:tcBorders>
            <w:shd w:val="clear" w:color="auto" w:fill="auto"/>
            <w:tcMar>
              <w:top w:w="107" w:type="dxa"/>
              <w:left w:w="0" w:type="dxa"/>
              <w:bottom w:w="107" w:type="dxa"/>
              <w:right w:w="129" w:type="dxa"/>
            </w:tcMar>
            <w:vAlign w:val="center"/>
          </w:tcPr>
          <w:p w14:paraId="5E118391">
            <w:pPr>
              <w:bidi w:val="0"/>
              <w:snapToGrid w:val="0"/>
              <w:ind w:left="0" w:leftChars="0" w:right="0" w:rightChars="0" w:firstLine="0" w:firstLineChars="0"/>
              <w:jc w:val="center"/>
              <w:rPr>
                <w:rFonts w:hint="eastAsia"/>
                <w:lang w:val="en-US" w:eastAsia="zh-CN"/>
              </w:rPr>
            </w:pPr>
            <w:r>
              <w:rPr>
                <w:rFonts w:hint="eastAsia"/>
                <w:lang w:val="en-US" w:eastAsia="zh-CN"/>
              </w:rPr>
              <w:t>35.7%</w:t>
            </w:r>
          </w:p>
        </w:tc>
        <w:tc>
          <w:tcPr>
            <w:tcW w:w="4976" w:type="dxa"/>
            <w:tcBorders>
              <w:top w:val="single" w:color="auto" w:sz="4" w:space="0"/>
              <w:left w:val="single" w:color="auto" w:sz="4" w:space="0"/>
              <w:bottom w:val="single" w:color="auto" w:sz="12" w:space="0"/>
              <w:right w:val="single" w:color="auto" w:sz="12" w:space="0"/>
            </w:tcBorders>
            <w:shd w:val="clear" w:color="auto" w:fill="auto"/>
            <w:tcMar>
              <w:top w:w="107" w:type="dxa"/>
              <w:left w:w="0" w:type="dxa"/>
              <w:bottom w:w="107" w:type="dxa"/>
              <w:right w:w="129" w:type="dxa"/>
            </w:tcMar>
            <w:vAlign w:val="center"/>
          </w:tcPr>
          <w:p w14:paraId="7EC12DBE">
            <w:pPr>
              <w:bidi w:val="0"/>
              <w:snapToGrid w:val="0"/>
              <w:ind w:left="0" w:leftChars="0" w:right="0" w:rightChars="0" w:firstLine="0" w:firstLineChars="0"/>
              <w:jc w:val="center"/>
              <w:rPr>
                <w:rFonts w:hint="eastAsia"/>
                <w:lang w:val="en-US" w:eastAsia="zh-CN"/>
              </w:rPr>
            </w:pPr>
            <w:r>
              <w:rPr>
                <w:rFonts w:hint="eastAsia"/>
                <w:lang w:val="en-US" w:eastAsia="zh-CN"/>
              </w:rPr>
              <w:t>各维度接近总体均值，占比最大</w:t>
            </w:r>
          </w:p>
        </w:tc>
      </w:tr>
    </w:tbl>
    <w:p w14:paraId="2677C924">
      <w:pPr>
        <w:pStyle w:val="6"/>
        <w:ind w:left="0" w:leftChars="0" w:firstLine="0" w:firstLineChars="0"/>
        <w:jc w:val="center"/>
      </w:pPr>
      <w:r>
        <w:t xml:space="preserve">表 </w:t>
      </w:r>
      <w:r>
        <w:fldChar w:fldCharType="begin"/>
      </w:r>
      <w:r>
        <w:instrText xml:space="preserve"> SEQ 表 \* ARABIC </w:instrText>
      </w:r>
      <w:r>
        <w:fldChar w:fldCharType="separate"/>
      </w:r>
      <w:r>
        <w:t>3</w:t>
      </w:r>
      <w:r>
        <w:fldChar w:fldCharType="end"/>
      </w:r>
    </w:p>
    <w:p w14:paraId="44FB34E1">
      <w:pPr>
        <w:pStyle w:val="4"/>
        <w:bidi w:val="0"/>
        <w:rPr>
          <w:rFonts w:hint="eastAsia"/>
          <w:lang w:val="en-US" w:eastAsia="zh-CN"/>
        </w:rPr>
      </w:pPr>
      <w:bookmarkStart w:id="8" w:name="_Toc19603"/>
      <w:r>
        <w:rPr>
          <w:rFonts w:hint="eastAsia"/>
          <w:lang w:val="en-US" w:eastAsia="zh-CN"/>
        </w:rPr>
        <w:t>5.6 产出内容</w:t>
      </w:r>
    </w:p>
    <w:p w14:paraId="3CF1CBC1">
      <w:pPr>
        <w:bidi w:val="0"/>
        <w:rPr>
          <w:rFonts w:hint="eastAsia"/>
          <w:lang w:val="en-US" w:eastAsia="zh-CN"/>
        </w:rPr>
      </w:pPr>
      <w:r>
        <w:rPr>
          <w:rFonts w:hint="eastAsia"/>
          <w:lang w:val="en-US" w:eastAsia="zh-CN"/>
        </w:rPr>
        <w:t>系统输出个体主表，涵盖每个学生每学期的所属大类、子类、各类别后验概率、概率熵和边界指标。同时输出每个大类的维度分数画像、每个子类的关键差异指标清单及命名草案，以及班级、专业、学院层面的群体画像。</w:t>
      </w:r>
    </w:p>
    <w:p w14:paraId="71CBAF1C">
      <w:pPr>
        <w:pStyle w:val="4"/>
        <w:bidi w:val="0"/>
        <w:rPr>
          <w:rFonts w:hint="default"/>
          <w:lang w:val="en-US" w:eastAsia="zh-CN"/>
        </w:rPr>
      </w:pPr>
      <w:r>
        <w:rPr>
          <w:rFonts w:hint="eastAsia"/>
          <w:lang w:val="en-US" w:eastAsia="zh-CN"/>
        </w:rPr>
        <w:t>5.7 可视化呈现</w:t>
      </w:r>
    </w:p>
    <w:p w14:paraId="207E8AAA">
      <w:pPr>
        <w:bidi w:val="0"/>
        <w:rPr>
          <w:rFonts w:hint="eastAsia"/>
          <w:lang w:val="en-US" w:eastAsia="zh-CN"/>
        </w:rPr>
      </w:pPr>
      <w:r>
        <w:rPr>
          <w:rFonts w:hint="eastAsia"/>
          <w:lang w:val="en-US" w:eastAsia="zh-CN"/>
        </w:rPr>
        <w:t>系统生成多张可视化图表，包括整体</w:t>
      </w:r>
      <w:bookmarkStart w:id="15" w:name="_GoBack"/>
      <w:bookmarkEnd w:id="15"/>
      <w:r>
        <w:rPr>
          <w:rFonts w:hint="eastAsia"/>
          <w:lang w:val="en-US" w:eastAsia="zh-CN"/>
        </w:rPr>
        <w:t>大类分布、各学院大类堆叠图、各学院维度热图、Top专业大类堆叠图、八类维度画像对比图、学院风险占比图等，便于直观理解分群结果。</w:t>
      </w:r>
    </w:p>
    <w:p w14:paraId="7C7DBEFB">
      <w:pPr>
        <w:pStyle w:val="3"/>
        <w:bidi w:val="0"/>
        <w:rPr>
          <w:rFonts w:hint="eastAsia"/>
          <w:lang w:val="en-US" w:eastAsia="zh-CN"/>
        </w:rPr>
      </w:pPr>
      <w:r>
        <w:rPr>
          <w:rFonts w:hint="eastAsia"/>
          <w:lang w:val="en-US" w:eastAsia="zh-CN"/>
        </w:rPr>
        <w:t>六、学业风险预警模型</w:t>
      </w:r>
      <w:bookmarkEnd w:id="8"/>
    </w:p>
    <w:p w14:paraId="44C2592D">
      <w:pPr>
        <w:pStyle w:val="4"/>
        <w:bidi w:val="0"/>
        <w:jc w:val="both"/>
        <w:rPr>
          <w:rFonts w:hint="eastAsia"/>
          <w:lang w:val="en-US" w:eastAsia="zh-CN"/>
        </w:rPr>
      </w:pPr>
      <w:r>
        <w:rPr>
          <w:rFonts w:hint="eastAsia"/>
          <w:lang w:val="en-US" w:eastAsia="zh-CN"/>
        </w:rPr>
        <w:t>6.1 任务界定</w:t>
      </w:r>
    </w:p>
    <w:p w14:paraId="664A20D3">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利用学生当前学期及之前的数据，预测下一学期是否会出现学业异常。这属于二分类监督学习任务，正样本为下一学期出现学业异常的学生。</w:t>
      </w:r>
    </w:p>
    <w:p w14:paraId="202F39DC">
      <w:pPr>
        <w:pStyle w:val="4"/>
        <w:bidi w:val="0"/>
        <w:jc w:val="both"/>
        <w:rPr>
          <w:rFonts w:hint="eastAsia"/>
          <w:lang w:val="en-US" w:eastAsia="zh-CN"/>
        </w:rPr>
      </w:pPr>
      <w:r>
        <w:rPr>
          <w:rFonts w:hint="eastAsia"/>
          <w:lang w:val="en-US" w:eastAsia="zh-CN"/>
        </w:rPr>
        <w:t>6.2 风险标签界定</w:t>
      </w:r>
    </w:p>
    <w:p w14:paraId="5A800FBE">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lang w:eastAsia="zh-CN"/>
        </w:rPr>
      </w:pPr>
      <w:r>
        <w:rPr>
          <w:rFonts w:hint="eastAsia"/>
          <w:lang w:val="en-US" w:eastAsia="zh-CN"/>
        </w:rPr>
        <w:t>下一学期满足以下任一条件即标记为风险：挂科数大于 0、挂科率不低于 15%、平均绩点低于 2.0、平均分低于 65。</w:t>
      </w:r>
    </w:p>
    <w:p w14:paraId="658FD3D9">
      <w:pPr>
        <w:pStyle w:val="4"/>
        <w:bidi w:val="0"/>
        <w:jc w:val="both"/>
        <w:rPr>
          <w:rFonts w:hint="eastAsia"/>
          <w:lang w:val="en-US" w:eastAsia="zh-CN"/>
        </w:rPr>
      </w:pPr>
      <w:r>
        <w:rPr>
          <w:rFonts w:hint="eastAsia"/>
          <w:lang w:val="en-US" w:eastAsia="zh-CN"/>
        </w:rPr>
        <w:t>6.3 特征工程</w:t>
      </w:r>
    </w:p>
    <w:p w14:paraId="48A9ECE6">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eastAsia="zh-CN"/>
        </w:rPr>
      </w:pPr>
      <w:r>
        <w:rPr>
          <w:rFonts w:hint="eastAsia"/>
          <w:lang w:val="en-US" w:eastAsia="zh-CN"/>
        </w:rPr>
        <w:t>系统提取两类特征。第一类为当前学期特征，包含课程数、均分、挂科数、缺勤率等本学期各项指标。第二类为历史趋势特征，包含上一学期值、历史累计均值、与上一学期相比的变化量，使模型不仅能够识别当前状态，还能识别持续下滑、阶段波动、长期稳定等趋势。</w:t>
      </w:r>
    </w:p>
    <w:p w14:paraId="1A19593A">
      <w:pPr>
        <w:pStyle w:val="4"/>
        <w:bidi w:val="0"/>
        <w:jc w:val="both"/>
        <w:rPr>
          <w:rFonts w:hint="eastAsia"/>
          <w:lang w:val="en-US" w:eastAsia="zh-CN"/>
        </w:rPr>
      </w:pPr>
      <w:r>
        <w:rPr>
          <w:rFonts w:hint="eastAsia"/>
          <w:lang w:val="en-US" w:eastAsia="zh-CN"/>
        </w:rPr>
        <w:t>6.4 建模流程</w:t>
      </w:r>
    </w:p>
    <w:p w14:paraId="5D46A7CC">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eastAsia="zh-CN"/>
        </w:rPr>
      </w:pPr>
      <w:r>
        <w:rPr>
          <w:rFonts w:hint="eastAsia"/>
          <w:lang w:val="en-US" w:eastAsia="zh-CN"/>
        </w:rPr>
        <w:t>首先按照学生学期顺序进行排序，将下一学期的结果字段向前对齐以生成监督标签。接着进行特征预处理，数值特征采用中位数填补缺失值，类别特征采用众数填补后进行独热编码。</w:t>
      </w:r>
    </w:p>
    <w:p w14:paraId="5231CC5C">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eastAsia="zh-CN"/>
        </w:rPr>
      </w:pPr>
      <w:r>
        <w:rPr>
          <w:rFonts w:hint="eastAsia"/>
          <w:lang w:val="en-US" w:eastAsia="zh-CN"/>
        </w:rPr>
        <w:t>数据集划分时按学生进行分组，避免同一学生的不同学期同时出现在训练集和测试集中，防止因数据泄漏导致过拟合评估。</w:t>
      </w:r>
    </w:p>
    <w:p w14:paraId="71CE3363">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eastAsia="zh-CN"/>
        </w:rPr>
      </w:pPr>
      <w:r>
        <w:rPr>
          <w:rFonts w:hint="eastAsia"/>
          <w:lang w:val="en-US" w:eastAsia="zh-CN"/>
        </w:rPr>
        <w:t>分类器优先选用极致梯度提升树，该算法在处理表格数据时表现出色，具备正则化机制以防止过拟合，且能输出特征重要性用于解释。</w:t>
      </w:r>
    </w:p>
    <w:p w14:paraId="0C8731BD">
      <w:pPr>
        <w:pStyle w:val="4"/>
        <w:bidi w:val="0"/>
        <w:jc w:val="both"/>
        <w:rPr>
          <w:rFonts w:hint="eastAsia"/>
          <w:lang w:val="en-US" w:eastAsia="zh-CN"/>
        </w:rPr>
      </w:pPr>
      <w:r>
        <w:rPr>
          <w:rFonts w:hint="eastAsia"/>
          <w:lang w:val="en-US" w:eastAsia="zh-CN"/>
        </w:rPr>
        <w:t>6.5 模型输出</w:t>
      </w:r>
    </w:p>
    <w:p w14:paraId="13D967E1">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eastAsia="zh-CN"/>
        </w:rPr>
      </w:pPr>
      <w:r>
        <w:rPr>
          <w:rFonts w:hint="eastAsia"/>
          <w:lang w:val="en-US" w:eastAsia="zh-CN"/>
        </w:rPr>
        <w:t>模型输出风险概率，并映射为五级预警：蓝色为低风险方面，青色代表较低风险，黄色代表中等风险，橙色代表较高风险，红色代表高风险。</w:t>
      </w:r>
    </w:p>
    <w:p w14:paraId="1A3B6AF6">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eastAsia="zh-CN"/>
        </w:rPr>
      </w:pPr>
      <w:r>
        <w:rPr>
          <w:rFonts w:hint="eastAsia"/>
          <w:lang w:val="en-US" w:eastAsia="zh-CN"/>
        </w:rPr>
        <w:t>同时输出全局特征重要性，用以说明总体上哪些因素对学业风险影响最大，以及学生级局部归因，以说明单个学生被判定为存在风险的主要因素。</w:t>
      </w:r>
    </w:p>
    <w:p w14:paraId="6B828779">
      <w:pPr>
        <w:pStyle w:val="4"/>
        <w:bidi w:val="0"/>
        <w:jc w:val="both"/>
        <w:rPr>
          <w:rFonts w:hint="eastAsia"/>
          <w:lang w:val="en-US" w:eastAsia="zh-CN"/>
        </w:rPr>
      </w:pPr>
      <w:r>
        <w:rPr>
          <w:rFonts w:hint="eastAsia"/>
          <w:lang w:val="en-US" w:eastAsia="zh-CN"/>
        </w:rPr>
        <w:t>6.6 模型指标</w:t>
      </w:r>
    </w:p>
    <w:p w14:paraId="3B003BB1">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eastAsia="zh-CN"/>
        </w:rPr>
      </w:pPr>
      <w:r>
        <w:rPr>
          <w:rFonts w:hint="eastAsia"/>
          <w:lang w:val="en-US" w:eastAsia="zh-CN"/>
        </w:rPr>
        <w:t>当前模型的AUC约为0.936，这表明该模型具备良好的区分能力，能够有效地识别出存在学业风险的学生。</w:t>
      </w:r>
    </w:p>
    <w:p w14:paraId="48AAD31A">
      <w:pPr>
        <w:pStyle w:val="3"/>
        <w:bidi w:val="0"/>
        <w:rPr>
          <w:rFonts w:hint="eastAsia"/>
          <w:lang w:val="en-US" w:eastAsia="zh-CN"/>
        </w:rPr>
      </w:pPr>
      <w:bookmarkStart w:id="9" w:name="_Toc12999"/>
      <w:r>
        <w:rPr>
          <w:rFonts w:hint="eastAsia"/>
          <w:lang w:val="en-US" w:eastAsia="zh-CN"/>
        </w:rPr>
        <w:t>七、未来发展预测模型</w:t>
      </w:r>
      <w:bookmarkEnd w:id="9"/>
    </w:p>
    <w:p w14:paraId="4611ABDD">
      <w:pPr>
        <w:pStyle w:val="4"/>
        <w:bidi w:val="0"/>
        <w:jc w:val="both"/>
        <w:rPr>
          <w:rFonts w:hint="eastAsia"/>
          <w:lang w:val="en-US" w:eastAsia="zh-CN"/>
        </w:rPr>
      </w:pPr>
      <w:r>
        <w:rPr>
          <w:rFonts w:hint="eastAsia"/>
          <w:lang w:val="en-US" w:eastAsia="zh-CN"/>
        </w:rPr>
        <w:t>7.1 数据准备</w:t>
      </w:r>
    </w:p>
    <w:p w14:paraId="5AF59A6F">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eastAsia="zh-CN"/>
        </w:rPr>
      </w:pPr>
      <w:r>
        <w:rPr>
          <w:rFonts w:hint="eastAsia"/>
          <w:lang w:val="en-US" w:eastAsia="zh-CN"/>
        </w:rPr>
        <w:t>未来发展预测不再以学生 - 学期作为样本单位，而是首先将学生大学期间各学期的特征聚合为学生级四年画像。针对每个数值指标，提取其均值、最大值、最小值、标准差以及最后一学期的值，此外还构造前半阶段均值、后半阶段均值，以及核心指标的阶段变化量，以此反映学生的成长轨迹。</w:t>
      </w:r>
    </w:p>
    <w:p w14:paraId="5AE7F60B">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eastAsia="zh-CN"/>
        </w:rPr>
      </w:pPr>
      <w:r>
        <w:rPr>
          <w:rFonts w:hint="eastAsia"/>
          <w:lang w:val="en-US" w:eastAsia="zh-CN"/>
        </w:rPr>
        <w:t>除学期聚合画像外，系统还引入四六级成绩以描述学生的英语能力和国际化潜力，引入社团活动以描述学生的活跃度和综合参与度，引入线上学习表现以补充学习投入情况。</w:t>
      </w:r>
    </w:p>
    <w:p w14:paraId="2D91273E">
      <w:pPr>
        <w:pStyle w:val="4"/>
        <w:bidi w:val="0"/>
        <w:jc w:val="both"/>
        <w:rPr>
          <w:rFonts w:hint="eastAsia"/>
          <w:lang w:val="en-US" w:eastAsia="zh-CN"/>
        </w:rPr>
      </w:pPr>
      <w:r>
        <w:rPr>
          <w:rFonts w:hint="eastAsia"/>
          <w:lang w:val="en-US" w:eastAsia="zh-CN"/>
        </w:rPr>
        <w:t>7.2 任务一：毕业去向多分类</w:t>
      </w:r>
    </w:p>
    <w:p w14:paraId="6316A15F">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val="en-US" w:eastAsia="zh-CN"/>
        </w:rPr>
      </w:pPr>
      <w:r>
        <w:rPr>
          <w:rFonts w:hint="eastAsia"/>
          <w:lang w:val="en-US" w:eastAsia="zh-CN"/>
        </w:rPr>
        <w:t>毕业去向分为四类：国内升学、出国留学、体制发展、就业实践。体制发展涵盖考公、选调、事业单位；就业实践包括直接就业、科研助理、创业、待定等非升学路径。</w:t>
      </w:r>
    </w:p>
    <w:p w14:paraId="5719B3E8">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eastAsia="zh-CN"/>
        </w:rPr>
      </w:pPr>
      <w:r>
        <w:rPr>
          <w:rFonts w:hint="eastAsia"/>
          <w:lang w:val="en-US" w:eastAsia="zh-CN"/>
        </w:rPr>
        <w:t>系统采用一对多策略，为每个类别分别训练一个二分类极致梯度提升树模型，再将四个模型的输出分数合并以得到最终的多分类结果。训练时，对每个类别分别进行3折交叉验证选参，并针对样本不平衡问题采用类别权重平衡处理。当前加权一对多AUC约为0.848。</w:t>
      </w:r>
    </w:p>
    <w:p w14:paraId="0BC198BF">
      <w:pPr>
        <w:pStyle w:val="4"/>
        <w:bidi w:val="0"/>
        <w:jc w:val="both"/>
        <w:rPr>
          <w:rFonts w:hint="eastAsia"/>
          <w:lang w:val="en-US" w:eastAsia="zh-CN"/>
        </w:rPr>
      </w:pPr>
      <w:r>
        <w:rPr>
          <w:rFonts w:hint="eastAsia"/>
          <w:lang w:val="en-US" w:eastAsia="zh-CN"/>
        </w:rPr>
        <w:t>7.3 任务二：方向倾向多标签识别</w:t>
      </w:r>
    </w:p>
    <w:p w14:paraId="284E9A20">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val="en-US" w:eastAsia="zh-CN"/>
        </w:rPr>
      </w:pPr>
      <w:r>
        <w:rPr>
          <w:rFonts w:hint="eastAsia"/>
          <w:lang w:val="en-US" w:eastAsia="zh-CN"/>
        </w:rPr>
        <w:t>系统围绕多个方向倾向分别训练二分类模型，包括倾向国内升学、倾向出国留学、倾向体制发展、倾向直接就业、倾向科研路径、倾向自主发展。这些标签并非互斥关系，是对学生未来倾向的补充刻画。每个标签采用与学业预警类似的二分类训练管道，逐个输出概率和可解释结果。</w:t>
      </w:r>
    </w:p>
    <w:p w14:paraId="149002DD">
      <w:pPr>
        <w:pStyle w:val="4"/>
        <w:bidi w:val="0"/>
        <w:jc w:val="both"/>
        <w:rPr>
          <w:rFonts w:hint="eastAsia"/>
          <w:lang w:val="en-US" w:eastAsia="zh-CN"/>
        </w:rPr>
      </w:pPr>
      <w:r>
        <w:rPr>
          <w:rFonts w:hint="eastAsia"/>
          <w:lang w:val="en-US" w:eastAsia="zh-CN"/>
        </w:rPr>
        <w:t>7.4 任务三：规划建议生成</w:t>
      </w:r>
    </w:p>
    <w:p w14:paraId="685D396E">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val="en-US" w:eastAsia="zh-CN"/>
        </w:rPr>
      </w:pPr>
      <w:r>
        <w:rPr>
          <w:rFonts w:hint="eastAsia"/>
          <w:lang w:val="en-US" w:eastAsia="zh-CN"/>
        </w:rPr>
        <w:t>规划建议并不单独训练新模型，而是将毕业去向的路径概率、方向倾向的倾向概率以及毕业去向模型的局部归因结果进行合并，按照规则生成推荐路径排序、关键影响因素和规划建议文本。这是一个基于预测结果和归因结果的规则生成层，用于将模型结果转化为更适合展示和沟通的建议文本。</w:t>
      </w:r>
    </w:p>
    <w:p w14:paraId="55963FF4">
      <w:pPr>
        <w:pStyle w:val="3"/>
        <w:bidi w:val="0"/>
        <w:rPr>
          <w:rFonts w:hint="eastAsia"/>
          <w:lang w:val="en-US" w:eastAsia="zh-CN"/>
        </w:rPr>
      </w:pPr>
      <w:bookmarkStart w:id="10" w:name="_Toc24945"/>
      <w:r>
        <w:rPr>
          <w:rFonts w:hint="eastAsia"/>
          <w:lang w:val="en-US" w:eastAsia="zh-CN"/>
        </w:rPr>
        <w:t>八</w:t>
      </w:r>
      <w:r>
        <w:rPr>
          <w:rFonts w:hint="default"/>
          <w:lang w:val="en-US" w:eastAsia="zh-CN"/>
        </w:rPr>
        <w:t>、创意描述</w:t>
      </w:r>
      <w:bookmarkEnd w:id="10"/>
    </w:p>
    <w:p w14:paraId="4D4CB975">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eastAsia"/>
          <w:lang w:val="en-US" w:eastAsia="zh-CN"/>
        </w:rPr>
      </w:pPr>
      <w:r>
        <w:rPr>
          <w:rFonts w:hint="default"/>
          <w:lang w:val="en-US" w:eastAsia="zh-CN"/>
        </w:rPr>
        <w:t>本项目的核心创意在于构建了一套“数据驱动+模型决策+应用反馈”的大学生行为分析与干预闭环系统。区别于传统的学生管理方式，</w:t>
      </w:r>
      <w:r>
        <w:rPr>
          <w:rFonts w:hint="eastAsia"/>
          <w:lang w:val="en-US" w:eastAsia="zh-CN"/>
        </w:rPr>
        <w:t>观澜智析</w:t>
      </w:r>
      <w:r>
        <w:rPr>
          <w:rFonts w:hint="default"/>
          <w:lang w:val="en-US" w:eastAsia="zh-CN"/>
        </w:rPr>
        <w:t>系统不再依赖辅导员的主观经验判断，而是以多源校园数据为基础，通过机器学习模型实现对学生的精准画像、风险预警和发展预测。</w:t>
      </w:r>
    </w:p>
    <w:p w14:paraId="543C519D">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default"/>
          <w:lang w:val="en-US" w:eastAsia="zh-CN"/>
        </w:rPr>
      </w:pPr>
      <w:r>
        <w:rPr>
          <w:rFonts w:hint="default"/>
          <w:lang w:val="en-US" w:eastAsia="zh-CN"/>
        </w:rPr>
        <w:t>从“经验判断”到“数据驱动”：系统整合成绩、签到、作业、门禁、上网、图书馆、综测、奖学金、竞赛、体测等十余张业务表，将分散在各个信息系统中的学生数据汇聚为统一的数据底座，使学生的行为特征得以量化呈现。</w:t>
      </w:r>
    </w:p>
    <w:p w14:paraId="026C8E7E">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default"/>
          <w:lang w:val="en-US" w:eastAsia="zh-CN"/>
        </w:rPr>
      </w:pPr>
      <w:r>
        <w:rPr>
          <w:rFonts w:hint="default"/>
          <w:lang w:val="en-US" w:eastAsia="zh-CN"/>
        </w:rPr>
        <w:t>从“事后补救”到“前置预警”：学业风险预警模型能够预测学生下一学期是否会出现学业异常，输出五级预警等级，帮助教师在教学问题恶化之前进行早期识别和干预。</w:t>
      </w:r>
    </w:p>
    <w:p w14:paraId="34D109D1">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default"/>
          <w:lang w:val="en-US" w:eastAsia="zh-CN"/>
        </w:rPr>
      </w:pPr>
      <w:r>
        <w:rPr>
          <w:rFonts w:hint="default"/>
          <w:lang w:val="en-US" w:eastAsia="zh-CN"/>
        </w:rPr>
        <w:t>从“一刀切”到“精准画像”：通过两层软聚类架构，系统将学生分为8个大类和32个子类，每个学生都能获得个性化的行为模式画像，而非统一标准下的简单评价。</w:t>
      </w:r>
    </w:p>
    <w:p w14:paraId="03E06B9F">
      <w:pPr>
        <w:keepNext w:val="0"/>
        <w:keepLines w:val="0"/>
        <w:pageBreakBefore w:val="0"/>
        <w:widowControl w:val="0"/>
        <w:kinsoku/>
        <w:wordWrap/>
        <w:overflowPunct/>
        <w:topLinePunct w:val="0"/>
        <w:autoSpaceDE/>
        <w:autoSpaceDN/>
        <w:bidi w:val="0"/>
        <w:adjustRightInd/>
        <w:snapToGrid/>
        <w:ind w:left="480" w:leftChars="200" w:firstLine="419" w:firstLineChars="0"/>
        <w:textAlignment w:val="auto"/>
        <w:rPr>
          <w:rFonts w:hint="default"/>
          <w:lang w:val="en-US" w:eastAsia="zh-CN"/>
        </w:rPr>
      </w:pPr>
      <w:r>
        <w:rPr>
          <w:rFonts w:hint="default"/>
          <w:lang w:val="en-US" w:eastAsia="zh-CN"/>
        </w:rPr>
        <w:t>从“结果告知”到“解释建议”：系统在输出预测结果的同时，同步提供关键影响因素分析和个性化规划建议，让用户不仅知道“是什么”，还能理解“为什么”，并知道“怎么办”。</w:t>
      </w:r>
    </w:p>
    <w:p w14:paraId="6BF6B610">
      <w:pPr>
        <w:pStyle w:val="3"/>
        <w:bidi w:val="0"/>
        <w:rPr>
          <w:rFonts w:hint="default"/>
          <w:lang w:val="en-US" w:eastAsia="zh-CN"/>
        </w:rPr>
      </w:pPr>
      <w:bookmarkStart w:id="11" w:name="_Toc2773"/>
      <w:r>
        <w:rPr>
          <w:rFonts w:hint="eastAsia"/>
          <w:lang w:val="en-US" w:eastAsia="zh-CN"/>
        </w:rPr>
        <w:t>九</w:t>
      </w:r>
      <w:r>
        <w:rPr>
          <w:rFonts w:hint="default"/>
          <w:lang w:val="en-US" w:eastAsia="zh-CN"/>
        </w:rPr>
        <w:t>、功能简介</w:t>
      </w:r>
      <w:bookmarkEnd w:id="11"/>
    </w:p>
    <w:p w14:paraId="4888A5E0">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eastAsia"/>
          <w:lang w:val="en-US" w:eastAsia="zh-CN"/>
        </w:rPr>
        <w:t>观澜智析</w:t>
      </w:r>
      <w:r>
        <w:rPr>
          <w:rFonts w:hint="default"/>
          <w:lang w:val="en-US" w:eastAsia="zh-CN"/>
        </w:rPr>
        <w:t>系统面向学生和教师两类用户，提供差异化的功能模块。</w:t>
      </w:r>
    </w:p>
    <w:p w14:paraId="1E98FBF5">
      <w:pPr>
        <w:pStyle w:val="4"/>
        <w:bidi w:val="0"/>
        <w:rPr>
          <w:rFonts w:hint="default"/>
          <w:lang w:val="en-US" w:eastAsia="zh-CN"/>
        </w:rPr>
      </w:pPr>
      <w:r>
        <w:rPr>
          <w:rFonts w:hint="eastAsia"/>
          <w:lang w:val="en-US" w:eastAsia="zh-CN"/>
        </w:rPr>
        <w:t>9.1</w:t>
      </w:r>
      <w:r>
        <w:rPr>
          <w:rFonts w:hint="default"/>
          <w:lang w:val="en-US" w:eastAsia="zh-CN"/>
        </w:rPr>
        <w:t>学生端功能</w:t>
      </w:r>
    </w:p>
    <w:p w14:paraId="3CFB8C06">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学生登录后可查看个人身份信息区，展示姓名、学号、学院、专业、班级等基本信息，以及系统分析得出的行为模式类型及可信程度。</w:t>
      </w:r>
    </w:p>
    <w:p w14:paraId="593318FD">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六维画像模块通过雷达图展示学生在学业表现、出勤情况、作业完成、线上学习、体能健康、发展成就六个方面的表现，并与全校平均水平进行对比。旁边配有六张数据卡片显示各维度的具体数值，下方显示系统判断依据。</w:t>
      </w:r>
    </w:p>
    <w:p w14:paraId="05363FF2">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学业轨迹模块通过折线图展示学生多个学期的成绩变化趋势，能够直观地呈现成绩的起伏情况。</w:t>
      </w:r>
    </w:p>
    <w:p w14:paraId="0A7E1B82">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AI测评报告模块展示系统生成的个性化分析内容，包括整体评价、优势分析、改进建议等，学生可以导出为PDF格式进行保存。</w:t>
      </w:r>
    </w:p>
    <w:p w14:paraId="6AE9E4E5">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毕业预测模块通过进度条展示学生毕业后可能的去向，如就业、考研、创业等不同方向的可能性。</w:t>
      </w:r>
    </w:p>
    <w:p w14:paraId="16EA1895">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设置模块支持学生修改登录密码、绑定手机号、切换界面显示模式。</w:t>
      </w:r>
    </w:p>
    <w:p w14:paraId="1DB6323F">
      <w:pPr>
        <w:pStyle w:val="4"/>
        <w:bidi w:val="0"/>
        <w:rPr>
          <w:rFonts w:hint="default"/>
          <w:lang w:val="en-US" w:eastAsia="zh-CN"/>
        </w:rPr>
      </w:pPr>
      <w:r>
        <w:rPr>
          <w:rFonts w:hint="eastAsia"/>
          <w:lang w:val="en-US" w:eastAsia="zh-CN"/>
        </w:rPr>
        <w:t>9.2教师</w:t>
      </w:r>
      <w:r>
        <w:rPr>
          <w:rFonts w:hint="default"/>
          <w:lang w:val="en-US" w:eastAsia="zh-CN"/>
        </w:rPr>
        <w:t>端功能</w:t>
      </w:r>
    </w:p>
    <w:p w14:paraId="02E00CD8">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数据分析台展示教师所管理学生的整体情况，包括学生总数、需要重点关注的人数、本周已处理的情况等统计数据，同时通过环形图展示学生群体的行为模式分布，通过进度条展示影响学业的主要问题行为。</w:t>
      </w:r>
    </w:p>
    <w:p w14:paraId="3DAB2BF6">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预警工作台列出需要关注的学生名单，显示每位学生的风险等级。教师点击“启动干预”后，会弹出详细面板，呈现该学生存在问题的原因剖析，以及系统生成的谈话建议与干预策略。教师可记录干预状态与备注内容，以便后续跟进。</w:t>
      </w:r>
    </w:p>
    <w:p w14:paraId="4D77D52C">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学生查询功能支持教师依据学号或姓名检索学生，查看该学生的完整画像信息。</w:t>
      </w:r>
    </w:p>
    <w:p w14:paraId="07395254">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设置模块支持教师修改密码、绑定手机号码、切换界面显示模式。</w:t>
      </w:r>
    </w:p>
    <w:p w14:paraId="25B7A7D9">
      <w:pPr>
        <w:pStyle w:val="3"/>
        <w:bidi w:val="0"/>
        <w:rPr>
          <w:rFonts w:hint="default"/>
          <w:lang w:val="en-US" w:eastAsia="zh-CN"/>
        </w:rPr>
      </w:pPr>
      <w:bookmarkStart w:id="12" w:name="_Toc8944"/>
      <w:r>
        <w:rPr>
          <w:rFonts w:hint="default"/>
          <w:lang w:val="en-US" w:eastAsia="zh-CN"/>
        </w:rPr>
        <w:t>十、特色综述</w:t>
      </w:r>
      <w:bookmarkEnd w:id="12"/>
    </w:p>
    <w:p w14:paraId="7E80D29F">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eastAsia"/>
          <w:lang w:val="en-US" w:eastAsia="zh-CN"/>
        </w:rPr>
        <w:t>观澜智析</w:t>
      </w:r>
      <w:r>
        <w:rPr>
          <w:rFonts w:hint="default"/>
          <w:lang w:val="en-US" w:eastAsia="zh-CN"/>
        </w:rPr>
        <w:t>系统相较于传统学生管理工具和学生行为分析系统，具有以下特色：</w:t>
      </w:r>
    </w:p>
    <w:p w14:paraId="161A384E">
      <w:pPr>
        <w:keepNext w:val="0"/>
        <w:keepLines w:val="0"/>
        <w:pageBreakBefore w:val="0"/>
        <w:widowControl w:val="0"/>
        <w:numPr>
          <w:ilvl w:val="0"/>
          <w:numId w:val="5"/>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多源数据深度融合：系统突破传统单一数据源分析的局限，整合十余张业务数据表，从学业、行为、健康、发展等多个维度构建全方位的学生数字画像，数据覆盖全面，画像维度丰富。</w:t>
      </w:r>
    </w:p>
    <w:p w14:paraId="2F0558BA">
      <w:pPr>
        <w:keepNext w:val="0"/>
        <w:keepLines w:val="0"/>
        <w:pageBreakBefore w:val="0"/>
        <w:widowControl w:val="0"/>
        <w:numPr>
          <w:ilvl w:val="0"/>
          <w:numId w:val="5"/>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两层软聚类架构：创新性地采用两层软聚类架构，先在大类层面识别宏观模式，再在子类层面进行精细划分。高斯混合模型输出概率分布而非硬切分，保留边界学生的不确定性信息，更符合教育场景中行为模式的连续谱特征。</w:t>
      </w:r>
    </w:p>
    <w:p w14:paraId="6265796E">
      <w:pPr>
        <w:keepNext w:val="0"/>
        <w:keepLines w:val="0"/>
        <w:pageBreakBefore w:val="0"/>
        <w:widowControl w:val="0"/>
        <w:numPr>
          <w:ilvl w:val="0"/>
          <w:numId w:val="5"/>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时间序列意识的风险预警：学业预警模型不仅使用当前学期特征，还构建了历史趋势特征，包括上一学期值、累计均值和变化量，使模型能够识别持续下滑、阶段波动、长期稳定等动态模式。</w:t>
      </w:r>
    </w:p>
    <w:p w14:paraId="0A20B7FB">
      <w:pPr>
        <w:keepNext w:val="0"/>
        <w:keepLines w:val="0"/>
        <w:pageBreakBefore w:val="0"/>
        <w:widowControl w:val="0"/>
        <w:numPr>
          <w:ilvl w:val="0"/>
          <w:numId w:val="5"/>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预测-解释一体化设计：系统在输出预测结果的同时，同步生成特征重要性分析和学生级局部归因，形成“预测结果+归因解释”的完整输出，增强了系统的可信度和实用性。</w:t>
      </w:r>
    </w:p>
    <w:p w14:paraId="7873D6FF">
      <w:pPr>
        <w:keepNext w:val="0"/>
        <w:keepLines w:val="0"/>
        <w:pageBreakBefore w:val="0"/>
        <w:widowControl w:val="0"/>
        <w:numPr>
          <w:ilvl w:val="0"/>
          <w:numId w:val="5"/>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双角色差异化服务：面向学生和教师两类用户提供差异化的功能设计，学生端聚焦自我认知与发展规划，教师端聚焦风险识别与干预支持，形成从个体到群体的完整服务链条。</w:t>
      </w:r>
    </w:p>
    <w:p w14:paraId="560623A5">
      <w:pPr>
        <w:pStyle w:val="3"/>
        <w:bidi w:val="0"/>
        <w:rPr>
          <w:rFonts w:hint="default"/>
          <w:lang w:val="en-US" w:eastAsia="zh-CN"/>
        </w:rPr>
      </w:pPr>
      <w:bookmarkStart w:id="13" w:name="_Toc16501"/>
      <w:r>
        <w:rPr>
          <w:rFonts w:hint="default"/>
          <w:lang w:val="en-US" w:eastAsia="zh-CN"/>
        </w:rPr>
        <w:t>十</w:t>
      </w:r>
      <w:r>
        <w:rPr>
          <w:rFonts w:hint="eastAsia"/>
          <w:lang w:val="en-US" w:eastAsia="zh-CN"/>
        </w:rPr>
        <w:t>一</w:t>
      </w:r>
      <w:r>
        <w:rPr>
          <w:rFonts w:hint="default"/>
          <w:lang w:val="en-US" w:eastAsia="zh-CN"/>
        </w:rPr>
        <w:t>、开发工具与技术</w:t>
      </w:r>
      <w:bookmarkEnd w:id="13"/>
    </w:p>
    <w:p w14:paraId="42A6C3E1">
      <w:pPr>
        <w:pStyle w:val="4"/>
        <w:bidi w:val="0"/>
        <w:rPr>
          <w:rFonts w:hint="default"/>
          <w:lang w:val="en-US" w:eastAsia="zh-CN"/>
        </w:rPr>
      </w:pPr>
      <w:r>
        <w:rPr>
          <w:rFonts w:hint="eastAsia"/>
          <w:lang w:val="en-US" w:eastAsia="zh-CN"/>
        </w:rPr>
        <w:t>11.</w:t>
      </w:r>
      <w:r>
        <w:rPr>
          <w:rFonts w:hint="default"/>
          <w:lang w:val="en-US" w:eastAsia="zh-CN"/>
        </w:rPr>
        <w:t>1 开发环境</w:t>
      </w:r>
    </w:p>
    <w:p w14:paraId="3EC2FBE3">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lang w:val="en-US" w:eastAsia="zh-CN"/>
        </w:rPr>
      </w:pPr>
      <w:r>
        <w:rPr>
          <w:rFonts w:hint="default"/>
          <w:lang w:val="en-US" w:eastAsia="zh-CN"/>
        </w:rPr>
        <w:t>系统以Python 3.8及以上为主要开发语言，使用Anaconda管理项目依赖环境。开发工具包括Jupyter Notebook用于探索性分析，VS Code作为主代码编辑器，Git进行版本管理。</w:t>
      </w:r>
    </w:p>
    <w:p w14:paraId="426129FE">
      <w:pPr>
        <w:pStyle w:val="4"/>
        <w:bidi w:val="0"/>
        <w:rPr>
          <w:rFonts w:hint="default"/>
          <w:lang w:val="en-US" w:eastAsia="zh-CN"/>
        </w:rPr>
      </w:pPr>
      <w:r>
        <w:rPr>
          <w:rFonts w:hint="eastAsia"/>
          <w:lang w:val="en-US" w:eastAsia="zh-CN"/>
        </w:rPr>
        <w:t>11.</w:t>
      </w:r>
      <w:r>
        <w:rPr>
          <w:rFonts w:hint="default"/>
          <w:lang w:val="en-US" w:eastAsia="zh-CN"/>
        </w:rPr>
        <w:t>2 数据处理工具</w:t>
      </w:r>
    </w:p>
    <w:p w14:paraId="1D7C30B5">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数据处理以pandas和numpy为核心。pandas用于多源数据的读取、清洗、融合和特征工程处理，支持CSV、Excel等格式的读写操作。numpy提供底层数值计算能力，支撑大规模数组运算。</w:t>
      </w:r>
    </w:p>
    <w:p w14:paraId="09D6C917">
      <w:pPr>
        <w:pStyle w:val="4"/>
        <w:bidi w:val="0"/>
        <w:rPr>
          <w:rFonts w:hint="default"/>
          <w:lang w:val="en-US" w:eastAsia="zh-CN"/>
        </w:rPr>
      </w:pPr>
      <w:r>
        <w:rPr>
          <w:rFonts w:hint="eastAsia"/>
          <w:lang w:val="en-US" w:eastAsia="zh-CN"/>
        </w:rPr>
        <w:t>11.</w:t>
      </w:r>
      <w:r>
        <w:rPr>
          <w:rFonts w:hint="default"/>
          <w:lang w:val="en-US" w:eastAsia="zh-CN"/>
        </w:rPr>
        <w:t>3 机器学习框架</w:t>
      </w:r>
    </w:p>
    <w:p w14:paraId="50362D1F">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机器学习建模主要依赖scikit-learn和XGBoost两大框架。</w:t>
      </w:r>
    </w:p>
    <w:p w14:paraId="1CEEDDB3">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scikit-learn用于数据标准化处理、聚类分析（高斯混合模型、KMeans）和模型评估。XGBoost作为核心分类器，用于学业风险预警和毕业去向预测，具备正则化机制防止过拟合，可输出特征重要性用于模型解释。</w:t>
      </w:r>
    </w:p>
    <w:p w14:paraId="15DEA939">
      <w:pPr>
        <w:pStyle w:val="4"/>
        <w:bidi w:val="0"/>
        <w:rPr>
          <w:rFonts w:hint="default"/>
          <w:lang w:val="en-US" w:eastAsia="zh-CN"/>
        </w:rPr>
      </w:pPr>
      <w:r>
        <w:rPr>
          <w:rFonts w:hint="eastAsia"/>
          <w:lang w:val="en-US" w:eastAsia="zh-CN"/>
        </w:rPr>
        <w:t>11.</w:t>
      </w:r>
      <w:r>
        <w:rPr>
          <w:rFonts w:hint="default"/>
          <w:lang w:val="en-US" w:eastAsia="zh-CN"/>
        </w:rPr>
        <w:t>4 可视化工具</w:t>
      </w:r>
    </w:p>
    <w:p w14:paraId="5A41D4B1">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数据可视化采用多工具组合。matplotlib和seaborn用于探索性数据分析阶段的基础图表绘制。UMAP和t-SNE用于高维聚类结果的降维可视化。前端采用ECharts图表库，集成雷达图、折线图、环形图等交互式组件。</w:t>
      </w:r>
    </w:p>
    <w:p w14:paraId="3DE37E22">
      <w:pPr>
        <w:pStyle w:val="4"/>
        <w:bidi w:val="0"/>
        <w:rPr>
          <w:rFonts w:hint="default"/>
          <w:lang w:val="en-US" w:eastAsia="zh-CN"/>
        </w:rPr>
      </w:pPr>
      <w:r>
        <w:rPr>
          <w:rFonts w:hint="eastAsia"/>
          <w:lang w:val="en-US" w:eastAsia="zh-CN"/>
        </w:rPr>
        <w:t>11.</w:t>
      </w:r>
      <w:r>
        <w:rPr>
          <w:rFonts w:hint="default"/>
          <w:lang w:val="en-US" w:eastAsia="zh-CN"/>
        </w:rPr>
        <w:t>5 前后端框架</w:t>
      </w:r>
    </w:p>
    <w:p w14:paraId="25FA1E07">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后端采用Flask轻量级Web框架，提供RESTful API接口。前端采用Vue.js框架构建单页应用，结合Element UI组件库实现页面布局，支持深色和亮色两种显示模式切换。</w:t>
      </w:r>
    </w:p>
    <w:p w14:paraId="6F5D39DF">
      <w:pPr>
        <w:pStyle w:val="4"/>
        <w:bidi w:val="0"/>
        <w:rPr>
          <w:rFonts w:hint="default"/>
          <w:lang w:val="en-US" w:eastAsia="zh-CN"/>
        </w:rPr>
      </w:pPr>
      <w:r>
        <w:rPr>
          <w:rFonts w:hint="eastAsia"/>
          <w:lang w:val="en-US" w:eastAsia="zh-CN"/>
        </w:rPr>
        <w:t>11.</w:t>
      </w:r>
      <w:r>
        <w:rPr>
          <w:rFonts w:hint="default"/>
          <w:lang w:val="en-US" w:eastAsia="zh-CN"/>
        </w:rPr>
        <w:t>6 大语言模型接口</w:t>
      </w:r>
    </w:p>
    <w:p w14:paraId="02413881">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系统预留大语言模型接入能力，通过requests库调用OpenAI兼容接口，用于AI测评报告文本生成和规划建议输出。</w:t>
      </w:r>
    </w:p>
    <w:p w14:paraId="13DACE00">
      <w:pPr>
        <w:pStyle w:val="4"/>
        <w:bidi w:val="0"/>
        <w:rPr>
          <w:rFonts w:hint="default"/>
          <w:lang w:val="en-US" w:eastAsia="zh-CN"/>
        </w:rPr>
      </w:pPr>
      <w:r>
        <w:rPr>
          <w:rFonts w:hint="eastAsia"/>
          <w:lang w:val="en-US" w:eastAsia="zh-CN"/>
        </w:rPr>
        <w:t>11.</w:t>
      </w:r>
      <w:r>
        <w:rPr>
          <w:rFonts w:hint="default"/>
          <w:lang w:val="en-US" w:eastAsia="zh-CN"/>
        </w:rPr>
        <w:t>7 技术栈汇总</w:t>
      </w:r>
    </w:p>
    <w:tbl>
      <w:tblPr>
        <w:tblStyle w:val="11"/>
        <w:tblW w:w="56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1933"/>
        <w:gridCol w:w="3707"/>
      </w:tblGrid>
      <w:tr w14:paraId="77A57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0" w:type="auto"/>
            <w:tcBorders>
              <w:top w:val="nil"/>
            </w:tcBorders>
            <w:shd w:val="clear" w:color="auto" w:fill="FFFFFF" w:themeFill="background1"/>
            <w:tcMar>
              <w:top w:w="75" w:type="dxa"/>
              <w:left w:w="0" w:type="dxa"/>
              <w:bottom w:w="75" w:type="dxa"/>
              <w:right w:w="120" w:type="dxa"/>
            </w:tcMar>
            <w:vAlign w:val="center"/>
          </w:tcPr>
          <w:p w14:paraId="521DB7F5">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类别</w:t>
            </w:r>
          </w:p>
        </w:tc>
        <w:tc>
          <w:tcPr>
            <w:tcW w:w="0" w:type="auto"/>
            <w:tcBorders>
              <w:top w:val="nil"/>
            </w:tcBorders>
            <w:shd w:val="clear" w:color="auto" w:fill="FFFFFF" w:themeFill="background1"/>
            <w:tcMar>
              <w:top w:w="75" w:type="dxa"/>
              <w:left w:w="120" w:type="dxa"/>
              <w:bottom w:w="75" w:type="dxa"/>
              <w:right w:w="120" w:type="dxa"/>
            </w:tcMar>
            <w:vAlign w:val="center"/>
          </w:tcPr>
          <w:p w14:paraId="6EE1A0D1">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工具与技术</w:t>
            </w:r>
          </w:p>
        </w:tc>
      </w:tr>
      <w:tr w14:paraId="66758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jc w:val="center"/>
        </w:trPr>
        <w:tc>
          <w:tcPr>
            <w:tcW w:w="0" w:type="auto"/>
            <w:shd w:val="clear" w:color="auto" w:fill="FFFFFF" w:themeFill="background1"/>
            <w:tcMar>
              <w:top w:w="75" w:type="dxa"/>
              <w:left w:w="0" w:type="dxa"/>
              <w:bottom w:w="75" w:type="dxa"/>
              <w:right w:w="120" w:type="dxa"/>
            </w:tcMar>
            <w:vAlign w:val="center"/>
          </w:tcPr>
          <w:p w14:paraId="6988E822">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编程语言</w:t>
            </w:r>
          </w:p>
        </w:tc>
        <w:tc>
          <w:tcPr>
            <w:tcW w:w="0" w:type="auto"/>
            <w:shd w:val="clear" w:color="auto" w:fill="FFFFFF" w:themeFill="background1"/>
            <w:tcMar>
              <w:top w:w="75" w:type="dxa"/>
              <w:left w:w="120" w:type="dxa"/>
              <w:bottom w:w="75" w:type="dxa"/>
              <w:right w:w="0" w:type="dxa"/>
            </w:tcMar>
            <w:vAlign w:val="center"/>
          </w:tcPr>
          <w:p w14:paraId="5C9E9853">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Python 3.8+</w:t>
            </w:r>
          </w:p>
        </w:tc>
      </w:tr>
      <w:tr w14:paraId="21DA5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jc w:val="center"/>
        </w:trPr>
        <w:tc>
          <w:tcPr>
            <w:tcW w:w="0" w:type="auto"/>
            <w:shd w:val="clear" w:color="auto" w:fill="FFFFFF" w:themeFill="background1"/>
            <w:tcMar>
              <w:top w:w="75" w:type="dxa"/>
              <w:left w:w="0" w:type="dxa"/>
              <w:bottom w:w="75" w:type="dxa"/>
              <w:right w:w="120" w:type="dxa"/>
            </w:tcMar>
            <w:vAlign w:val="center"/>
          </w:tcPr>
          <w:p w14:paraId="3435024E">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数据处理</w:t>
            </w:r>
          </w:p>
        </w:tc>
        <w:tc>
          <w:tcPr>
            <w:tcW w:w="0" w:type="auto"/>
            <w:shd w:val="clear" w:color="auto" w:fill="FFFFFF" w:themeFill="background1"/>
            <w:tcMar>
              <w:top w:w="75" w:type="dxa"/>
              <w:left w:w="120" w:type="dxa"/>
              <w:bottom w:w="75" w:type="dxa"/>
              <w:right w:w="0" w:type="dxa"/>
            </w:tcMar>
            <w:vAlign w:val="center"/>
          </w:tcPr>
          <w:p w14:paraId="28FEA899">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pandas, numpy</w:t>
            </w:r>
          </w:p>
        </w:tc>
      </w:tr>
      <w:tr w14:paraId="2237D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jc w:val="center"/>
        </w:trPr>
        <w:tc>
          <w:tcPr>
            <w:tcW w:w="0" w:type="auto"/>
            <w:shd w:val="clear" w:color="auto" w:fill="FFFFFF" w:themeFill="background1"/>
            <w:tcMar>
              <w:top w:w="75" w:type="dxa"/>
              <w:left w:w="0" w:type="dxa"/>
              <w:bottom w:w="75" w:type="dxa"/>
              <w:right w:w="120" w:type="dxa"/>
            </w:tcMar>
            <w:vAlign w:val="center"/>
          </w:tcPr>
          <w:p w14:paraId="265E6DE0">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机器学习</w:t>
            </w:r>
          </w:p>
        </w:tc>
        <w:tc>
          <w:tcPr>
            <w:tcW w:w="0" w:type="auto"/>
            <w:shd w:val="clear" w:color="auto" w:fill="FFFFFF" w:themeFill="background1"/>
            <w:tcMar>
              <w:top w:w="75" w:type="dxa"/>
              <w:left w:w="120" w:type="dxa"/>
              <w:bottom w:w="75" w:type="dxa"/>
              <w:right w:w="0" w:type="dxa"/>
            </w:tcMar>
            <w:vAlign w:val="center"/>
          </w:tcPr>
          <w:p w14:paraId="3B155045">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scikit-learn, XGBoost</w:t>
            </w:r>
          </w:p>
        </w:tc>
      </w:tr>
      <w:tr w14:paraId="3D2A9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jc w:val="center"/>
        </w:trPr>
        <w:tc>
          <w:tcPr>
            <w:tcW w:w="0" w:type="auto"/>
            <w:shd w:val="clear" w:color="auto" w:fill="FFFFFF" w:themeFill="background1"/>
            <w:tcMar>
              <w:top w:w="75" w:type="dxa"/>
              <w:left w:w="0" w:type="dxa"/>
              <w:bottom w:w="75" w:type="dxa"/>
              <w:right w:w="120" w:type="dxa"/>
            </w:tcMar>
            <w:vAlign w:val="center"/>
          </w:tcPr>
          <w:p w14:paraId="719A4D92">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可视化</w:t>
            </w:r>
          </w:p>
        </w:tc>
        <w:tc>
          <w:tcPr>
            <w:tcW w:w="0" w:type="auto"/>
            <w:shd w:val="clear" w:color="auto" w:fill="FFFFFF" w:themeFill="background1"/>
            <w:tcMar>
              <w:top w:w="75" w:type="dxa"/>
              <w:left w:w="120" w:type="dxa"/>
              <w:bottom w:w="75" w:type="dxa"/>
              <w:right w:w="0" w:type="dxa"/>
            </w:tcMar>
            <w:vAlign w:val="center"/>
          </w:tcPr>
          <w:p w14:paraId="686C0C45">
            <w:pPr>
              <w:keepNext w:val="0"/>
              <w:keepLines w:val="0"/>
              <w:pageBreakBefore w:val="0"/>
              <w:widowControl w:val="0"/>
              <w:kinsoku/>
              <w:wordWrap/>
              <w:overflowPunct/>
              <w:topLinePunct w:val="0"/>
              <w:autoSpaceDE/>
              <w:autoSpaceDN/>
              <w:bidi w:val="0"/>
              <w:adjustRightInd/>
              <w:snapToGrid/>
              <w:ind w:left="960" w:leftChars="400" w:firstLine="0" w:firstLineChars="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matplotlib, seaborn, UMAP, ECharts</w:t>
            </w:r>
          </w:p>
        </w:tc>
      </w:tr>
      <w:tr w14:paraId="41758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jc w:val="center"/>
        </w:trPr>
        <w:tc>
          <w:tcPr>
            <w:tcW w:w="0" w:type="auto"/>
            <w:shd w:val="clear" w:color="auto" w:fill="FFFFFF" w:themeFill="background1"/>
            <w:tcMar>
              <w:top w:w="75" w:type="dxa"/>
              <w:left w:w="0" w:type="dxa"/>
              <w:bottom w:w="75" w:type="dxa"/>
              <w:right w:w="120" w:type="dxa"/>
            </w:tcMar>
            <w:vAlign w:val="center"/>
          </w:tcPr>
          <w:p w14:paraId="5D6CC652">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后端框架</w:t>
            </w:r>
          </w:p>
        </w:tc>
        <w:tc>
          <w:tcPr>
            <w:tcW w:w="0" w:type="auto"/>
            <w:shd w:val="clear" w:color="auto" w:fill="FFFFFF" w:themeFill="background1"/>
            <w:tcMar>
              <w:top w:w="75" w:type="dxa"/>
              <w:left w:w="120" w:type="dxa"/>
              <w:bottom w:w="75" w:type="dxa"/>
              <w:right w:w="0" w:type="dxa"/>
            </w:tcMar>
            <w:vAlign w:val="center"/>
          </w:tcPr>
          <w:p w14:paraId="7A3CE3B0">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Flask</w:t>
            </w:r>
          </w:p>
        </w:tc>
      </w:tr>
      <w:tr w14:paraId="75B11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hemeFill="background1"/>
            <w:tcMar>
              <w:top w:w="75" w:type="dxa"/>
              <w:left w:w="0" w:type="dxa"/>
              <w:bottom w:w="75" w:type="dxa"/>
              <w:right w:w="120" w:type="dxa"/>
            </w:tcMar>
            <w:vAlign w:val="center"/>
          </w:tcPr>
          <w:p w14:paraId="7DB2CC05">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前端框架</w:t>
            </w:r>
          </w:p>
        </w:tc>
        <w:tc>
          <w:tcPr>
            <w:tcW w:w="0" w:type="auto"/>
            <w:shd w:val="clear" w:color="auto" w:fill="FFFFFF" w:themeFill="background1"/>
            <w:tcMar>
              <w:top w:w="75" w:type="dxa"/>
              <w:left w:w="120" w:type="dxa"/>
              <w:bottom w:w="75" w:type="dxa"/>
              <w:right w:w="0" w:type="dxa"/>
            </w:tcMar>
            <w:vAlign w:val="center"/>
          </w:tcPr>
          <w:p w14:paraId="178FA266">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Vue.js, Element UI</w:t>
            </w:r>
          </w:p>
        </w:tc>
      </w:tr>
      <w:tr w14:paraId="4D3C5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jc w:val="center"/>
        </w:trPr>
        <w:tc>
          <w:tcPr>
            <w:tcW w:w="0" w:type="auto"/>
            <w:shd w:val="clear" w:color="auto" w:fill="FFFFFF" w:themeFill="background1"/>
            <w:tcMar>
              <w:top w:w="75" w:type="dxa"/>
              <w:left w:w="0" w:type="dxa"/>
              <w:bottom w:w="75" w:type="dxa"/>
              <w:right w:w="120" w:type="dxa"/>
            </w:tcMar>
            <w:vAlign w:val="center"/>
          </w:tcPr>
          <w:p w14:paraId="2025B361">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大模型接口</w:t>
            </w:r>
          </w:p>
        </w:tc>
        <w:tc>
          <w:tcPr>
            <w:tcW w:w="0" w:type="auto"/>
            <w:shd w:val="clear" w:color="auto" w:fill="FFFFFF" w:themeFill="background1"/>
            <w:tcMar>
              <w:top w:w="75" w:type="dxa"/>
              <w:left w:w="120" w:type="dxa"/>
              <w:bottom w:w="75" w:type="dxa"/>
              <w:right w:w="0" w:type="dxa"/>
            </w:tcMar>
            <w:vAlign w:val="center"/>
          </w:tcPr>
          <w:p w14:paraId="171BFD2E">
            <w:pPr>
              <w:keepNext w:val="0"/>
              <w:keepLines w:val="0"/>
              <w:pageBreakBefore w:val="0"/>
              <w:widowControl w:val="0"/>
              <w:kinsoku/>
              <w:wordWrap/>
              <w:overflowPunct/>
              <w:topLinePunct w:val="0"/>
              <w:autoSpaceDE/>
              <w:autoSpaceDN/>
              <w:bidi w:val="0"/>
              <w:adjustRightInd/>
              <w:snapToGrid/>
              <w:ind w:left="480" w:leftChars="200"/>
              <w:textAlignment w:val="auto"/>
              <w:rPr>
                <w:rFonts w:hint="default" w:ascii="Times New Roman" w:hAnsi="Times New Roman" w:eastAsia="宋体" w:cs="Segoe UI"/>
                <w:b w:val="0"/>
                <w:bCs w:val="0"/>
                <w:i w:val="0"/>
                <w:iCs w:val="0"/>
                <w:caps w:val="0"/>
                <w:strike w:val="0"/>
                <w:color w:val="auto"/>
                <w:spacing w:val="0"/>
                <w:kern w:val="0"/>
                <w:szCs w:val="12"/>
                <w:u w:val="none"/>
                <w:lang w:val="en-US" w:eastAsia="zh-CN" w:bidi="ar"/>
              </w:rPr>
            </w:pPr>
            <w:r>
              <w:rPr>
                <w:rFonts w:hint="default"/>
                <w:lang w:val="en-US" w:eastAsia="zh-CN"/>
              </w:rPr>
              <w:t>OpenAI兼容API</w:t>
            </w:r>
          </w:p>
        </w:tc>
      </w:tr>
    </w:tbl>
    <w:p w14:paraId="4755D591">
      <w:pPr>
        <w:keepNext w:val="0"/>
        <w:keepLines w:val="0"/>
        <w:pageBreakBefore w:val="0"/>
        <w:widowControl w:val="0"/>
        <w:kinsoku/>
        <w:wordWrap/>
        <w:overflowPunct/>
        <w:topLinePunct w:val="0"/>
        <w:autoSpaceDE/>
        <w:autoSpaceDN/>
        <w:bidi w:val="0"/>
        <w:adjustRightInd/>
        <w:snapToGrid/>
        <w:ind w:left="480" w:leftChars="200"/>
        <w:jc w:val="center"/>
        <w:textAlignment w:val="auto"/>
        <w:rPr>
          <w:rFonts w:hint="eastAsia"/>
          <w:lang w:val="en-US" w:eastAsia="zh-CN"/>
        </w:rPr>
      </w:pPr>
      <w:r>
        <w:rPr>
          <w:rFonts w:hint="eastAsia"/>
          <w:lang w:val="en-US" w:eastAsia="zh-CN"/>
        </w:rPr>
        <w:t>表1 项目中使用的技术栈</w:t>
      </w:r>
    </w:p>
    <w:p w14:paraId="1E4FE822">
      <w:pPr>
        <w:pStyle w:val="3"/>
        <w:bidi w:val="0"/>
        <w:rPr>
          <w:rFonts w:hint="default"/>
          <w:lang w:val="en-US" w:eastAsia="zh-CN"/>
        </w:rPr>
      </w:pPr>
      <w:bookmarkStart w:id="14" w:name="_Toc3670"/>
      <w:r>
        <w:rPr>
          <w:rFonts w:hint="eastAsia"/>
          <w:lang w:val="en-US" w:eastAsia="zh-CN"/>
        </w:rPr>
        <w:t>十二、总结与展望</w:t>
      </w:r>
      <w:bookmarkEnd w:id="14"/>
    </w:p>
    <w:p w14:paraId="421D2274">
      <w:pPr>
        <w:pStyle w:val="4"/>
        <w:bidi w:val="0"/>
        <w:rPr>
          <w:rFonts w:hint="eastAsia"/>
          <w:lang w:val="en-US" w:eastAsia="zh-CN"/>
        </w:rPr>
      </w:pPr>
      <w:r>
        <w:rPr>
          <w:rFonts w:hint="eastAsia"/>
          <w:lang w:val="en-US" w:eastAsia="zh-CN"/>
        </w:rPr>
        <w:t>12.1</w:t>
      </w:r>
      <w:r>
        <w:rPr>
          <w:rFonts w:hint="default"/>
          <w:lang w:val="en-US" w:eastAsia="zh-CN"/>
        </w:rPr>
        <w:t xml:space="preserve"> 项目总结</w:t>
      </w:r>
    </w:p>
    <w:p w14:paraId="6C21821B">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eastAsia"/>
          <w:lang w:val="en-US" w:eastAsia="zh-CN"/>
        </w:rPr>
      </w:pPr>
      <w:r>
        <w:rPr>
          <w:rFonts w:hint="default"/>
          <w:lang w:val="en-US" w:eastAsia="zh-CN"/>
        </w:rPr>
        <w:t>本项目构建的“</w:t>
      </w:r>
      <w:r>
        <w:rPr>
          <w:rFonts w:hint="eastAsia"/>
          <w:lang w:val="en-US" w:eastAsia="zh-CN"/>
        </w:rPr>
        <w:t>观澜智析</w:t>
      </w:r>
      <w:r>
        <w:rPr>
          <w:rFonts w:hint="default"/>
          <w:lang w:val="en-US" w:eastAsia="zh-CN"/>
        </w:rPr>
        <w:t>”大学生行为分析与干预系统，是一套面向高校学生发展与教育管理的智能化解决方案。系统以多源校园数据为驱动，通过数据清洗、特征工程、两层软聚类、学业风险预警和未来发展预测等核心模块，形成了从数据采集到决策支持的完整闭环。</w:t>
      </w:r>
    </w:p>
    <w:p w14:paraId="3BD770D0">
      <w:pPr>
        <w:keepNext w:val="0"/>
        <w:keepLines w:val="0"/>
        <w:pageBreakBefore w:val="0"/>
        <w:widowControl w:val="0"/>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在技术层面，系统实现了四大突破：</w:t>
      </w:r>
    </w:p>
    <w:p w14:paraId="11DE6B95">
      <w:pPr>
        <w:keepNext w:val="0"/>
        <w:keepLines w:val="0"/>
        <w:pageBreakBefore w:val="0"/>
        <w:widowControl w:val="0"/>
        <w:numPr>
          <w:ilvl w:val="0"/>
          <w:numId w:val="0"/>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eastAsia" w:eastAsia="楷体" w:asciiTheme="minorAscii" w:hAnsiTheme="minorAscii" w:cstheme="minorBidi"/>
          <w:kern w:val="2"/>
          <w:sz w:val="24"/>
          <w:szCs w:val="24"/>
          <w:lang w:val="en-US" w:eastAsia="zh-CN" w:bidi="ar-SA"/>
        </w:rPr>
        <w:t>（一）</w:t>
      </w:r>
      <w:r>
        <w:rPr>
          <w:rFonts w:hint="default"/>
          <w:lang w:val="en-US" w:eastAsia="zh-CN"/>
        </w:rPr>
        <w:t>整合成绩、签到、作业、门禁、上网、图书馆、综测、奖学金、竞赛、体测等十余张业务表，构建了全方位的学生数字画像；</w:t>
      </w:r>
    </w:p>
    <w:p w14:paraId="4412F60F">
      <w:pPr>
        <w:keepNext w:val="0"/>
        <w:keepLines w:val="0"/>
        <w:pageBreakBefore w:val="0"/>
        <w:widowControl w:val="0"/>
        <w:numPr>
          <w:ilvl w:val="0"/>
          <w:numId w:val="0"/>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eastAsia" w:eastAsia="楷体" w:asciiTheme="minorAscii" w:hAnsiTheme="minorAscii" w:cstheme="minorBidi"/>
          <w:kern w:val="2"/>
          <w:sz w:val="24"/>
          <w:szCs w:val="24"/>
          <w:lang w:val="en-US" w:eastAsia="zh-CN" w:bidi="ar-SA"/>
        </w:rPr>
        <w:t>（二）</w:t>
      </w:r>
      <w:r>
        <w:rPr>
          <w:rFonts w:hint="default"/>
          <w:lang w:val="en-US" w:eastAsia="zh-CN"/>
        </w:rPr>
        <w:t>创新性地采用两层软聚类架构，输出概率分布而非硬切分，既保证了模式的清晰可解释性，又兼顾了个体差异的细腻表达；</w:t>
      </w:r>
    </w:p>
    <w:p w14:paraId="34054914">
      <w:pPr>
        <w:keepNext w:val="0"/>
        <w:keepLines w:val="0"/>
        <w:pageBreakBefore w:val="0"/>
        <w:widowControl w:val="0"/>
        <w:numPr>
          <w:ilvl w:val="0"/>
          <w:numId w:val="0"/>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eastAsia" w:eastAsia="楷体" w:asciiTheme="minorAscii" w:hAnsiTheme="minorAscii" w:cstheme="minorBidi"/>
          <w:kern w:val="2"/>
          <w:sz w:val="24"/>
          <w:szCs w:val="24"/>
          <w:lang w:val="en-US" w:eastAsia="zh-CN" w:bidi="ar-SA"/>
        </w:rPr>
        <w:t>（三）</w:t>
      </w:r>
      <w:r>
        <w:rPr>
          <w:rFonts w:hint="default"/>
          <w:lang w:val="en-US" w:eastAsia="zh-CN"/>
        </w:rPr>
        <w:t>学业预警模型引入历史趋势特征，使模型能够识别持续下滑、阶段波动等动态模式；四</w:t>
      </w:r>
    </w:p>
    <w:p w14:paraId="47742039">
      <w:pPr>
        <w:keepNext w:val="0"/>
        <w:keepLines w:val="0"/>
        <w:pageBreakBefore w:val="0"/>
        <w:widowControl w:val="0"/>
        <w:numPr>
          <w:ilvl w:val="0"/>
          <w:numId w:val="0"/>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eastAsia" w:eastAsia="楷体" w:asciiTheme="minorAscii" w:hAnsiTheme="minorAscii" w:cstheme="minorBidi"/>
          <w:kern w:val="2"/>
          <w:sz w:val="24"/>
          <w:szCs w:val="24"/>
          <w:lang w:val="en-US" w:eastAsia="zh-CN" w:bidi="ar-SA"/>
        </w:rPr>
        <w:t>（四）</w:t>
      </w:r>
      <w:r>
        <w:rPr>
          <w:rFonts w:hint="default"/>
          <w:lang w:val="en-US" w:eastAsia="zh-CN"/>
        </w:rPr>
        <w:t>实现预测与解释一体化设计，同步输出归因结果，增强模型的可信度与实用性。</w:t>
      </w:r>
    </w:p>
    <w:p w14:paraId="149B0C2B">
      <w:pPr>
        <w:keepNext w:val="0"/>
        <w:keepLines w:val="0"/>
        <w:pageBreakBefore w:val="0"/>
        <w:widowControl w:val="0"/>
        <w:numPr>
          <w:ilvl w:val="0"/>
          <w:numId w:val="0"/>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eastAsia" w:eastAsia="楷体" w:asciiTheme="minorAscii" w:hAnsiTheme="minorAscii" w:cstheme="minorBidi"/>
          <w:kern w:val="2"/>
          <w:sz w:val="24"/>
          <w:szCs w:val="24"/>
          <w:lang w:val="en-US" w:eastAsia="zh-CN" w:bidi="ar-SA"/>
        </w:rPr>
        <w:t>（五）</w:t>
      </w:r>
      <w:r>
        <w:rPr>
          <w:rFonts w:hint="default"/>
          <w:lang w:val="en-US" w:eastAsia="zh-CN"/>
        </w:rPr>
        <w:t>在应用层面，系统面向学生和教师两类用户提供差异化服务。学生端聚焦自我认知与发展规划，通过六维画像、学业轨迹、AI测评报告和</w:t>
      </w:r>
      <w:r>
        <w:rPr>
          <w:rFonts w:hint="eastAsia"/>
          <w:lang w:val="en-US" w:eastAsia="zh-CN"/>
        </w:rPr>
        <w:t>未来发展</w:t>
      </w:r>
      <w:r>
        <w:rPr>
          <w:rFonts w:hint="default"/>
          <w:lang w:val="en-US" w:eastAsia="zh-CN"/>
        </w:rPr>
        <w:t>预测等功能，帮助学生客观了解自身状况，做出合理的学业与职业规划。教师端聚焦风险识别与干预支持，通过数据分析台、预警工作台和学生查询等功能，为辅导员提供数据驱动的决策依据，提升育人工作的针对性和有效性。</w:t>
      </w:r>
    </w:p>
    <w:p w14:paraId="08ECF31E">
      <w:pPr>
        <w:pStyle w:val="4"/>
        <w:bidi w:val="0"/>
        <w:rPr>
          <w:rFonts w:hint="default"/>
          <w:lang w:val="en-US" w:eastAsia="zh-CN"/>
        </w:rPr>
      </w:pPr>
      <w:r>
        <w:rPr>
          <w:rFonts w:hint="eastAsia"/>
          <w:lang w:val="en-US" w:eastAsia="zh-CN"/>
        </w:rPr>
        <w:t>12.2</w:t>
      </w:r>
      <w:r>
        <w:rPr>
          <w:rFonts w:hint="default"/>
          <w:lang w:val="en-US" w:eastAsia="zh-CN"/>
        </w:rPr>
        <w:t xml:space="preserve"> 未来展望</w:t>
      </w:r>
    </w:p>
    <w:p w14:paraId="47C72BAE">
      <w:pPr>
        <w:keepNext w:val="0"/>
        <w:keepLines w:val="0"/>
        <w:pageBreakBefore w:val="0"/>
        <w:widowControl w:val="0"/>
        <w:numPr>
          <w:ilvl w:val="0"/>
          <w:numId w:val="0"/>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尽管本系统已取得阶段性成果，但仍存在进一步优化和拓展的空间。未来将在以下几个方面持续探索：</w:t>
      </w:r>
    </w:p>
    <w:p w14:paraId="5AB24997">
      <w:pPr>
        <w:keepNext w:val="0"/>
        <w:keepLines w:val="0"/>
        <w:pageBreakBefore w:val="0"/>
        <w:widowControl w:val="0"/>
        <w:numPr>
          <w:ilvl w:val="0"/>
          <w:numId w:val="6"/>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数据维度拓展：当前系统主要基于校内结构化数据，未来可引入更多维度的数据源，如学生心理测评数据、就业跟踪数据、社交媒体行为数据等，进一步丰富学生画像的维度，提升预测模型的准确性和全面性。</w:t>
      </w:r>
    </w:p>
    <w:p w14:paraId="48E3EB59">
      <w:pPr>
        <w:keepNext w:val="0"/>
        <w:keepLines w:val="0"/>
        <w:pageBreakBefore w:val="0"/>
        <w:widowControl w:val="0"/>
        <w:numPr>
          <w:ilvl w:val="0"/>
          <w:numId w:val="6"/>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模型能力升级：随着大语言模型技术的快速发展，未来可将大模型能力融入系统，实现更智能的对话式交互、更灵活的归因解释生成、更个性化的规划建议输出，进一步提升系统的智能化水平。</w:t>
      </w:r>
    </w:p>
    <w:p w14:paraId="09CE4FB5">
      <w:pPr>
        <w:keepNext w:val="0"/>
        <w:keepLines w:val="0"/>
        <w:pageBreakBefore w:val="0"/>
        <w:widowControl w:val="0"/>
        <w:numPr>
          <w:ilvl w:val="0"/>
          <w:numId w:val="6"/>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实时预警能力：当前学业预警以学期为粒度，未来可结合更细粒度的时间数据（如周度考勤、日常作业提交等），构建实时或准实时的预警机制，实现更早期的风险识别与干预。</w:t>
      </w:r>
    </w:p>
    <w:p w14:paraId="660A2C47">
      <w:pPr>
        <w:keepNext w:val="0"/>
        <w:keepLines w:val="0"/>
        <w:pageBreakBefore w:val="0"/>
        <w:widowControl w:val="0"/>
        <w:numPr>
          <w:ilvl w:val="0"/>
          <w:numId w:val="6"/>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跨校推广验证：本系统的技术方案具有良好的可复现性和可迁移性，未来可在更多高校进行部署验证，收集不同院校、不同类型学生的数据，进一步优化模型参数，形成更通用的学生行为分析解决方案。</w:t>
      </w:r>
    </w:p>
    <w:p w14:paraId="53C4BFDD">
      <w:pPr>
        <w:keepNext w:val="0"/>
        <w:keepLines w:val="0"/>
        <w:pageBreakBefore w:val="0"/>
        <w:widowControl w:val="0"/>
        <w:numPr>
          <w:ilvl w:val="0"/>
          <w:numId w:val="6"/>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干预效果追踪：未来可建立干预措施与学业改善之间的因果追踪机制，通过对照实验等方式评估不同干预策略的实际效果，形成“预测—干预—评估—优化”的完整闭环，持续提升系统的实用价值。</w:t>
      </w:r>
    </w:p>
    <w:p w14:paraId="40E084EB">
      <w:pPr>
        <w:keepNext w:val="0"/>
        <w:keepLines w:val="0"/>
        <w:pageBreakBefore w:val="0"/>
        <w:widowControl w:val="0"/>
        <w:numPr>
          <w:ilvl w:val="0"/>
          <w:numId w:val="0"/>
        </w:numPr>
        <w:kinsoku/>
        <w:wordWrap/>
        <w:overflowPunct/>
        <w:topLinePunct w:val="0"/>
        <w:autoSpaceDE/>
        <w:autoSpaceDN/>
        <w:bidi w:val="0"/>
        <w:adjustRightInd/>
        <w:snapToGrid/>
        <w:ind w:left="480" w:leftChars="200" w:firstLine="420" w:firstLineChars="0"/>
        <w:textAlignment w:val="auto"/>
        <w:rPr>
          <w:rFonts w:hint="default"/>
          <w:lang w:val="en-US" w:eastAsia="zh-CN"/>
        </w:rPr>
      </w:pPr>
      <w:r>
        <w:rPr>
          <w:rFonts w:hint="default"/>
          <w:lang w:val="en-US" w:eastAsia="zh-CN"/>
        </w:rPr>
        <w:t>综上所述，“</w:t>
      </w:r>
      <w:r>
        <w:rPr>
          <w:rFonts w:hint="eastAsia"/>
          <w:lang w:val="en-US" w:eastAsia="zh-CN"/>
        </w:rPr>
        <w:t>观澜智析</w:t>
      </w:r>
      <w:r>
        <w:rPr>
          <w:rFonts w:hint="default"/>
          <w:lang w:val="en-US" w:eastAsia="zh-CN"/>
        </w:rPr>
        <w:t>”系统以数据为基础、以模型为核心、以应用为导向，实现了学生行为从“数据记录”到“认知洞察”再到“决策支持”的转化。未来将持续迭代优化，致力于成为高校学生发展与教育管理领域的重要工具。</w:t>
      </w:r>
    </w:p>
    <w:p w14:paraId="2A788927">
      <w:pPr>
        <w:pStyle w:val="4"/>
        <w:bidi w:val="0"/>
        <w:jc w:val="both"/>
        <w:rPr>
          <w:rFonts w:hint="default" w:ascii="Times New Roman" w:hAnsi="Times New Roman" w:eastAsia="宋体" w:cs="Segoe UI"/>
          <w:b w:val="0"/>
          <w:bCs w:val="0"/>
          <w:i w:val="0"/>
          <w:iCs w:val="0"/>
          <w:caps w:val="0"/>
          <w:strike w:val="0"/>
          <w:color w:val="auto"/>
          <w:spacing w:val="0"/>
          <w:kern w:val="0"/>
          <w:sz w:val="24"/>
          <w:szCs w:val="12"/>
          <w:u w:val="none"/>
          <w:lang w:val="en-US" w:eastAsia="zh-CN" w:bidi="ar"/>
        </w:rPr>
      </w:pPr>
    </w:p>
    <w:sectPr>
      <w:pgSz w:w="11906" w:h="16838"/>
      <w:pgMar w:top="1134" w:right="1134" w:bottom="1134" w:left="1134" w:header="851" w:footer="992" w:gutter="567"/>
      <w:pgBorders>
        <w:top w:val="none" w:sz="0" w:space="0"/>
        <w:left w:val="none" w:sz="0" w:space="0"/>
        <w:bottom w:val="none" w:sz="0" w:space="0"/>
        <w:right w:val="none" w:sz="0" w:space="0"/>
      </w:pgBorders>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left="480" w:firstLine="480"/>
      </w:pPr>
      <w:r>
        <w:separator/>
      </w:r>
    </w:p>
  </w:endnote>
  <w:endnote w:type="continuationSeparator" w:id="1">
    <w:p>
      <w:pPr>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left="480" w:firstLine="480"/>
      </w:pPr>
      <w:r>
        <w:separator/>
      </w:r>
    </w:p>
  </w:footnote>
  <w:footnote w:type="continuationSeparator" w:id="1">
    <w:p>
      <w:pPr>
        <w:spacing w:before="0" w:after="0"/>
        <w:ind w:left="480"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3F773"/>
    <w:multiLevelType w:val="singleLevel"/>
    <w:tmpl w:val="8393F773"/>
    <w:lvl w:ilvl="0" w:tentative="0">
      <w:start w:val="1"/>
      <w:numFmt w:val="bullet"/>
      <w:lvlText w:val=""/>
      <w:lvlJc w:val="left"/>
      <w:pPr>
        <w:ind w:left="420" w:hanging="420"/>
      </w:pPr>
      <w:rPr>
        <w:rFonts w:hint="default" w:ascii="Wingdings" w:hAnsi="Wingdings"/>
      </w:rPr>
    </w:lvl>
  </w:abstractNum>
  <w:abstractNum w:abstractNumId="1">
    <w:nsid w:val="CACE0E58"/>
    <w:multiLevelType w:val="singleLevel"/>
    <w:tmpl w:val="CACE0E58"/>
    <w:lvl w:ilvl="0" w:tentative="0">
      <w:start w:val="1"/>
      <w:numFmt w:val="bullet"/>
      <w:lvlText w:val=""/>
      <w:lvlJc w:val="left"/>
      <w:pPr>
        <w:ind w:left="420" w:hanging="420"/>
      </w:pPr>
      <w:rPr>
        <w:rFonts w:hint="default" w:ascii="Wingdings" w:hAnsi="Wingdings"/>
      </w:rPr>
    </w:lvl>
  </w:abstractNum>
  <w:abstractNum w:abstractNumId="2">
    <w:nsid w:val="DC9E6E52"/>
    <w:multiLevelType w:val="singleLevel"/>
    <w:tmpl w:val="DC9E6E52"/>
    <w:lvl w:ilvl="0" w:tentative="0">
      <w:start w:val="4"/>
      <w:numFmt w:val="chineseCounting"/>
      <w:suff w:val="nothing"/>
      <w:lvlText w:val="%1、"/>
      <w:lvlJc w:val="left"/>
      <w:rPr>
        <w:rFonts w:hint="eastAsia"/>
      </w:rPr>
    </w:lvl>
  </w:abstractNum>
  <w:abstractNum w:abstractNumId="3">
    <w:nsid w:val="E51C5ACC"/>
    <w:multiLevelType w:val="singleLevel"/>
    <w:tmpl w:val="E51C5ACC"/>
    <w:lvl w:ilvl="0" w:tentative="0">
      <w:start w:val="1"/>
      <w:numFmt w:val="chineseCounting"/>
      <w:suff w:val="nothing"/>
      <w:lvlText w:val="（%1）"/>
      <w:lvlJc w:val="left"/>
      <w:pPr>
        <w:ind w:left="0" w:firstLine="420"/>
      </w:pPr>
      <w:rPr>
        <w:rFonts w:hint="eastAsia"/>
      </w:rPr>
    </w:lvl>
  </w:abstractNum>
  <w:abstractNum w:abstractNumId="4">
    <w:nsid w:val="FA1AE9F6"/>
    <w:multiLevelType w:val="singleLevel"/>
    <w:tmpl w:val="FA1AE9F6"/>
    <w:lvl w:ilvl="0" w:tentative="0">
      <w:start w:val="1"/>
      <w:numFmt w:val="chineseCounting"/>
      <w:suff w:val="nothing"/>
      <w:lvlText w:val="（%1）"/>
      <w:lvlJc w:val="left"/>
      <w:pPr>
        <w:ind w:left="0" w:firstLine="420"/>
      </w:pPr>
      <w:rPr>
        <w:rFonts w:hint="eastAsia"/>
      </w:rPr>
    </w:lvl>
  </w:abstractNum>
  <w:abstractNum w:abstractNumId="5">
    <w:nsid w:val="27D10D3B"/>
    <w:multiLevelType w:val="singleLevel"/>
    <w:tmpl w:val="27D10D3B"/>
    <w:lvl w:ilvl="0" w:tentative="0">
      <w:start w:val="1"/>
      <w:numFmt w:val="chineseCounting"/>
      <w:suff w:val="nothing"/>
      <w:lvlText w:val="（%1）"/>
      <w:lvlJc w:val="left"/>
      <w:pPr>
        <w:ind w:left="0" w:firstLine="420"/>
      </w:pPr>
      <w:rPr>
        <w:rFonts w:hint="eastAsia"/>
      </w:rPr>
    </w:lvl>
  </w:abstractNum>
  <w:num w:numId="1">
    <w:abstractNumId w:val="3"/>
  </w:num>
  <w:num w:numId="2">
    <w:abstractNumId w:val="2"/>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HorizontalSpacing w:val="122"/>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722116"/>
    <w:rsid w:val="048E6891"/>
    <w:rsid w:val="18A864C6"/>
    <w:rsid w:val="28226959"/>
    <w:rsid w:val="30DD2D9E"/>
    <w:rsid w:val="31B93423"/>
    <w:rsid w:val="3B267F2B"/>
    <w:rsid w:val="41087010"/>
    <w:rsid w:val="46FD45E4"/>
    <w:rsid w:val="478430E5"/>
    <w:rsid w:val="5931107D"/>
    <w:rsid w:val="621C1F52"/>
    <w:rsid w:val="6D722116"/>
    <w:rsid w:val="73A21165"/>
    <w:rsid w:val="784C5C67"/>
    <w:rsid w:val="7A9F6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ind w:left="480" w:leftChars="200" w:firstLine="480" w:firstLineChars="200"/>
      <w:jc w:val="both"/>
    </w:pPr>
    <w:rPr>
      <w:rFonts w:eastAsia="楷体" w:asciiTheme="minorAscii" w:hAnsiTheme="minorAscii"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after="100" w:afterAutospacing="1"/>
      <w:ind w:left="0" w:leftChars="0"/>
      <w:jc w:val="left"/>
      <w:outlineLvl w:val="1"/>
    </w:pPr>
    <w:rPr>
      <w:rFonts w:ascii="宋体" w:hAnsi="宋体" w:eastAsia="宋体" w:cs="宋体"/>
      <w:b/>
      <w:bCs/>
      <w:kern w:val="0"/>
      <w:sz w:val="28"/>
      <w:szCs w:val="36"/>
      <w:lang w:bidi="ar"/>
    </w:rPr>
  </w:style>
  <w:style w:type="paragraph" w:styleId="4">
    <w:name w:val="heading 3"/>
    <w:basedOn w:val="1"/>
    <w:next w:val="1"/>
    <w:unhideWhenUsed/>
    <w:qFormat/>
    <w:uiPriority w:val="0"/>
    <w:pPr>
      <w:spacing w:before="0" w:afterAutospacing="1"/>
      <w:ind w:left="0" w:leftChars="0" w:firstLine="420" w:firstLineChars="0"/>
      <w:outlineLvl w:val="2"/>
    </w:pPr>
    <w:rPr>
      <w:rFonts w:ascii="宋体" w:hAnsi="宋体" w:eastAsia="宋体" w:cs="宋体"/>
      <w:b/>
      <w:bCs/>
      <w:kern w:val="0"/>
      <w:szCs w:val="27"/>
      <w:lang w:bidi="ar"/>
    </w:rPr>
  </w:style>
  <w:style w:type="paragraph" w:styleId="5">
    <w:name w:val="heading 4"/>
    <w:basedOn w:val="1"/>
    <w:next w:val="1"/>
    <w:link w:val="15"/>
    <w:unhideWhenUsed/>
    <w:qFormat/>
    <w:uiPriority w:val="0"/>
    <w:pPr>
      <w:keepNext/>
      <w:keepLines/>
      <w:spacing w:before="280" w:beforeLines="0" w:beforeAutospacing="0" w:after="290" w:afterLines="0" w:afterAutospacing="0" w:line="372" w:lineRule="auto"/>
      <w:outlineLvl w:val="3"/>
    </w:pPr>
    <w:rPr>
      <w:rFonts w:ascii="Arial" w:hAnsi="Arial" w:eastAsia="黑体"/>
      <w:b/>
      <w:sz w:val="21"/>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toc 3"/>
    <w:basedOn w:val="1"/>
    <w:next w:val="1"/>
    <w:qFormat/>
    <w:uiPriority w:val="0"/>
    <w:pPr>
      <w:ind w:left="840" w:leftChars="400"/>
    </w:p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customStyle="1" w:styleId="15">
    <w:name w:val="标题 4 Char"/>
    <w:link w:val="5"/>
    <w:uiPriority w:val="0"/>
    <w:rPr>
      <w:rFonts w:ascii="Arial" w:hAnsi="Arial" w:eastAsia="黑体"/>
      <w:b/>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51ae939f-49af-40b0-86c5-2d81e0a7b724</errorID>
      <errorWord>系统可</errorWord>
      <group>L1_Word</group>
      <groupName>字词问题</groupName>
      <ability>L2_Typo</ability>
      <abilityName>字词错误</abilityName>
      <candidateList>
        <item>系统</item>
      </candidateList>
      <explain>❶〈名〉同类事物按一定的关系组成的整体：～化｜组织～｜灌溉～。❷〈形〉有条理的；有系统的：～学习｜～研究｜资料不够。</explain>
      <paraID>716D3A4C</paraID>
      <start>37</start>
      <end>40</end>
      <status>ignored</status>
      <modifiedWord/>
      <trackRevisions>false</trackRevisions>
    </reviewItem>
    <reviewItem>
      <errorID>2325823a-669d-458b-9763-5d49e19d6111</errorID>
      <errorWord>键</errorWord>
      <group>L1_AI</group>
      <groupName>深度校对</groupName>
      <ability>L2_AI_Grammar</ability>
      <abilityName>语法纠错</abilityName>
      <candidateList>
        <item>关键指标</item>
      </candidateList>
      <explain/>
      <paraID> 32A7C76</paraID>
      <start>18</start>
      <end>19</end>
      <status>ignored</status>
      <modifiedWord/>
      <trackRevisions>false</trackRevisions>
    </reviewItem>
    <reviewItem>
      <errorID>d3171fca-0684-4491-90b3-0b8e7eb056b6</errorID>
      <errorWord>作</errorWord>
      <group>L1_Word</group>
      <groupName>字词问题</groupName>
      <ability>L2_Typo</ability>
      <abilityName>字词错误</abilityName>
      <candidateList>
        <item>做</item>
      </candidateList>
      <explain>存在发音相同字词的误用。</explain>
      <paraID>5D683EB4</paraID>
      <start>34</start>
      <end>35</end>
      <status>modified</status>
      <modifiedWord>做</modifiedWord>
      <trackRevisions>false</trackRevisions>
    </reviewItem>
    <reviewItem>
      <errorID>8da159e9-6c85-45b2-b11a-7cd96883f655</errorID>
      <errorWord>六个</errorWord>
      <group>L1_Knowledge</group>
      <groupName>知识性问题</groupName>
      <ability>L2_Knowledge</ability>
      <abilityName>其他知识</abilityName>
      <candidateList>
        <item>六张</item>
      </candidateList>
      <explain/>
      <paraID>62C640F1</paraID>
      <start>71</start>
      <end>73</end>
      <status>modified</status>
      <modifiedWord>六张</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b935cc-da64-494a-8fea-08b775075f7f}">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10987</Words>
  <Characters>11463</Characters>
  <Lines>0</Lines>
  <Paragraphs>0</Paragraphs>
  <TotalTime>23</TotalTime>
  <ScaleCrop>false</ScaleCrop>
  <LinksUpToDate>false</LinksUpToDate>
  <CharactersWithSpaces>11640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2026-04-08T14:21:00Z</dcterms:created>
  <dc:creator>郭钰炜</dc:creator>
  <cp:lastModifiedBy>毛思瑜</cp:lastModifiedBy>
  <dcterms:modified xsi:type="dcterms:W3CDTF">2026-04-17T16:39:31Z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3AD04125BCCD4F07AA5F2C8AE396139F_13</vt:lpwstr>
  </property>
  <property fmtid="{D5CDD505-2E9C-101B-9397-08002B2CF9AE}" pid="4" name="KSOTemplateDocerSaveRecord">
    <vt:lpwstr>eyJoZGlkIjoiY2I5ODFmMDVkYTJmZmM4ZjBiNDMxNWIyNzdmNmMxODUiLCJ1c2VySWQiOiIxNzI0NDEwMTI5In0=</vt:lpwstr>
  </property>
</Properties>
</file>