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48"/>
          <w:szCs w:val="48"/>
        </w:rPr>
        <w:t xml:space="preserve">SAT Reading &amp; Writing</w:t>
      </w:r>
    </w:p>
    <w:p>
      <w:pPr>
        <w:spacing w:after="200"/>
        <w:jc w:val="center"/>
      </w:pPr>
      <w:r>
        <w:rPr>
          <w:rFonts w:ascii="Arial" w:cs="Arial" w:eastAsia="Arial" w:hAnsi="Arial"/>
          <w:b/>
          <w:bCs/>
          <w:color w:val="2E75B6"/>
          <w:sz w:val="40"/>
          <w:szCs w:val="40"/>
        </w:rPr>
        <w:t xml:space="preserve">Source Material Evaluation Report</w:t>
      </w:r>
    </w:p>
    <w:p>
      <w:pPr>
        <w:spacing w:after="600"/>
        <w:jc w:val="center"/>
      </w:pPr>
      <w:r>
        <w:rPr>
          <w:rFonts w:ascii="Arial" w:cs="Arial" w:eastAsia="Arial" w:hAnsi="Arial"/>
          <w:color w:val="5D6D7E"/>
          <w:sz w:val="32"/>
          <w:szCs w:val="32"/>
        </w:rPr>
        <w:t xml:space="preserve">March 2026 Test Cycle</w:t>
      </w:r>
    </w:p>
    <w:p>
      <w:pPr>
        <w:pBdr>
          <w:top w:val="single" w:color="2E75B6" w:sz="6" w:space="8"/>
        </w:pBdr>
        <w:spacing w:after="100"/>
        <w:jc w:val="center"/>
      </w:pPr>
    </w:p>
    <w:p>
      <w:pPr>
        <w:spacing w:after="100"/>
        <w:jc w:val="center"/>
      </w:pPr>
      <w:r>
        <w:rPr>
          <w:rFonts w:ascii="Arial" w:cs="Arial" w:eastAsia="Arial" w:hAnsi="Arial"/>
          <w:i/>
          <w:iCs/>
          <w:color w:val="5D6D7E"/>
          <w:sz w:val="24"/>
          <w:szCs w:val="24"/>
        </w:rPr>
        <w:t xml:space="preserve">Aligned to 2026 Pattern Change Refinements</w:t>
      </w:r>
    </w:p>
    <w:p>
      <w:pPr>
        <w:spacing w:after="100"/>
        <w:jc w:val="center"/>
      </w:pPr>
      <w:r>
        <w:rPr>
          <w:rFonts w:ascii="Arial" w:cs="Arial" w:eastAsia="Arial" w:hAnsi="Arial"/>
          <w:color w:val="5D6D7E"/>
          <w:sz w:val="22"/>
          <w:szCs w:val="22"/>
        </w:rPr>
        <w:t xml:space="preserve">Prepared: March 19, 2026</w:t>
      </w:r>
    </w:p>
    <w:p>
      <w:pPr>
        <w:jc w:val="center"/>
      </w:pPr>
      <w:r>
        <w:rPr>
          <w:rFonts w:ascii="Arial" w:cs="Arial" w:eastAsia="Arial" w:hAnsi="Arial"/>
          <w:color w:val="5D6D7E"/>
          <w:sz w:val="22"/>
          <w:szCs w:val="22"/>
        </w:rPr>
        <w:t xml:space="preserve">Classification: Internal Working Document</w:t>
      </w:r>
    </w:p>
    <w:p>
      <w:pPr>
        <w:sectPr>
          <w:pgSz w:w="12240" w:h="15840" w:orient="portrait"/>
          <w:pgMar w:top="1440" w:right="1440" w:bottom="1440" w:left="1440" w:header="708" w:footer="708" w:gutter="0"/>
          <w:pgNumType/>
          <w:docGrid w:linePitch="360"/>
        </w:sectPr>
      </w:pPr>
    </w:p>
    <w:p>
      <w:pPr>
        <w:pStyle w:val="Heading1"/>
        <w:spacing w:after="200" w:before="300"/>
      </w:pPr>
      <w:r>
        <w:rPr>
          <w:rFonts w:ascii="Arial" w:cs="Arial" w:eastAsia="Arial" w:hAnsi="Arial"/>
        </w:rPr>
        <w:t xml:space="preserve">1. Executive Summary</w:t>
      </w:r>
    </w:p>
    <w:p>
      <w:pPr>
        <w:spacing w:after="200"/>
      </w:pPr>
      <w:r>
        <w:rPr>
          <w:rFonts w:ascii="Arial" w:cs="Arial" w:eastAsia="Arial" w:hAnsi="Arial"/>
          <w:sz w:val="22"/>
          <w:szCs w:val="22"/>
        </w:rPr>
        <w:t xml:space="preserve">This report identifies, categorizes, and evaluates high-quality source materials across four content domains for generating SAT Reading &amp; Writing test questions aligned with the March 2026 test cycle. All recommendations reflect the 2026 pattern change refinements emphasizing critical thinking, scientific literacy, and logical clarity.</w:t>
      </w:r>
    </w:p>
    <w:p>
      <w:pPr>
        <w:pStyle w:val="Heading3"/>
        <w:spacing w:after="200" w:before="300"/>
      </w:pPr>
      <w:r>
        <w:rPr>
          <w:rFonts w:ascii="Arial" w:cs="Arial" w:eastAsia="Arial" w:hAnsi="Arial"/>
        </w:rPr>
        <w:t xml:space="preserve">Critical Format Note</w:t>
      </w:r>
    </w:p>
    <w:p>
      <w:pPr>
        <w:spacing w:after="200"/>
      </w:pPr>
      <w:r>
        <w:rPr>
          <w:rFonts w:ascii="Arial" w:cs="Arial" w:eastAsia="Arial" w:hAnsi="Arial"/>
          <w:b/>
          <w:bCs/>
          <w:sz w:val="22"/>
          <w:szCs w:val="22"/>
        </w:rPr>
        <w:t xml:space="preserve">Important: </w:t>
      </w:r>
      <w:r>
        <w:rPr>
          <w:rFonts w:ascii="Arial" w:cs="Arial" w:eastAsia="Arial" w:hAnsi="Arial"/>
          <w:sz w:val="22"/>
          <w:szCs w:val="22"/>
        </w:rPr>
        <w:t xml:space="preserve">The Digital SAT uses short passages of 25–150 words per question (one passage = one question), not the 400–450 word extended passages from the legacy paper SAT. This report sources materials that can yield high-quality excerptable passages at both the short (Digital SAT) and extended (supplementary practice) lengths. Source texts should be longer works from which tight, self-contained excerpts can be drawn.</w:t>
      </w:r>
    </w:p>
    <w:p>
      <w:pPr>
        <w:pStyle w:val="Heading3"/>
        <w:spacing w:after="200" w:before="300"/>
      </w:pPr>
      <w:r>
        <w:rPr>
          <w:rFonts w:ascii="Arial" w:cs="Arial" w:eastAsia="Arial" w:hAnsi="Arial"/>
        </w:rPr>
        <w:t xml:space="preserve">Search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w:t>
            </w:r>
          </w:p>
        </w:tc>
        <w:tc>
          <w:tcPr>
            <w:tcW w:type="dxa" w:w="234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Sources Evaluated</w:t>
            </w:r>
          </w:p>
        </w:tc>
        <w:tc>
          <w:tcPr>
            <w:tcW w:type="dxa" w:w="234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Top Recommendations</w:t>
            </w:r>
          </w:p>
        </w:tc>
        <w:tc>
          <w:tcPr>
            <w:tcW w:type="dxa" w:w="234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2026 Alignment</w:t>
            </w:r>
          </w:p>
        </w:tc>
      </w:tr>
      <w:tr>
        <w:tc>
          <w:tcPr>
            <w:tcW w:type="dxa" w:w="234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sz w:val="20"/>
                <w:szCs w:val="20"/>
              </w:rPr>
              <w:t xml:space="preserve">Literature</w:t>
            </w:r>
          </w:p>
        </w:tc>
        <w:tc>
          <w:tcPr>
            <w:tcW w:type="dxa" w:w="234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12 platforms/journals</w:t>
            </w:r>
          </w:p>
        </w:tc>
        <w:tc>
          <w:tcPr>
            <w:tcW w:type="dxa" w:w="234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6 primary sources</w:t>
            </w:r>
          </w:p>
        </w:tc>
        <w:tc>
          <w:tcPr>
            <w:tcW w:type="dxa" w:w="234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Strong</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History/Social Studies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 journals/archives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 primary sources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Strong</w:t>
            </w:r>
          </w:p>
        </w:tc>
      </w:tr>
      <w:tr>
        <w:tc>
          <w:tcPr>
            <w:tcW w:type="dxa" w:w="234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sz w:val="20"/>
                <w:szCs w:val="20"/>
              </w:rPr>
              <w:t xml:space="preserve">Science</w:t>
            </w:r>
          </w:p>
        </w:tc>
        <w:tc>
          <w:tcPr>
            <w:tcW w:type="dxa" w:w="234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15 journals/databases</w:t>
            </w:r>
          </w:p>
        </w:tc>
        <w:tc>
          <w:tcPr>
            <w:tcW w:type="dxa" w:w="234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7 primary sources</w:t>
            </w:r>
          </w:p>
        </w:tc>
        <w:tc>
          <w:tcPr>
            <w:tcW w:type="dxa" w:w="234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Excellent</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Humanities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 journals/platforms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 primary sources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Strong</w:t>
            </w:r>
          </w:p>
        </w:tc>
      </w:tr>
    </w:tbl>
    <w:p>
      <w:pPr>
        <w:spacing w:after="200"/>
      </w:pPr>
    </w:p>
    <w:p>
      <w:pPr>
        <w:pStyle w:val="Heading1"/>
        <w:spacing w:after="200" w:before="300"/>
      </w:pPr>
      <w:r>
        <w:rPr>
          <w:rFonts w:ascii="Arial" w:cs="Arial" w:eastAsia="Arial" w:hAnsi="Arial"/>
        </w:rPr>
        <w:t xml:space="preserve">2. Science Domain (Highest Priority for 2026)</w:t>
      </w:r>
    </w:p>
    <w:p>
      <w:pPr>
        <w:spacing w:after="200"/>
      </w:pPr>
      <w:r>
        <w:rPr>
          <w:rFonts w:ascii="Arial" w:cs="Arial" w:eastAsia="Arial" w:hAnsi="Arial"/>
          <w:sz w:val="22"/>
          <w:szCs w:val="22"/>
        </w:rPr>
        <w:t xml:space="preserve">The 2026 pattern changes place the heaviest emphasis on science passages featuring multi-group experimental designs, variable testing, and study design evaluation. The following sources are recommended:</w:t>
      </w:r>
    </w:p>
    <w:p>
      <w:pPr>
        <w:pStyle w:val="Heading2"/>
        <w:spacing w:after="200" w:before="300"/>
      </w:pPr>
      <w:r>
        <w:rPr>
          <w:rFonts w:ascii="Arial" w:cs="Arial" w:eastAsia="Arial" w:hAnsi="Arial"/>
        </w:rPr>
        <w:t xml:space="preserve">2.1 PLOS Biology / PLOS ONE (Open Access)</w:t>
      </w:r>
    </w:p>
    <w:p>
      <w:pPr>
        <w:pStyle w:val="ListParagraph"/>
        <w:numPr>
          <w:ilvl w:val="0"/>
          <w:numId w:val="2"/>
        </w:numPr>
        <w:spacing w:after="120"/>
      </w:pPr>
      <w:r>
        <w:rPr>
          <w:rFonts w:ascii="Arial" w:cs="Arial" w:eastAsia="Arial" w:hAnsi="Arial"/>
          <w:b/>
          <w:bCs/>
          <w:sz w:val="22"/>
          <w:szCs w:val="22"/>
        </w:rPr>
        <w:t xml:space="preserve">License: </w:t>
      </w:r>
      <w:r>
        <w:rPr>
          <w:rFonts w:ascii="Arial" w:cs="Arial" w:eastAsia="Arial" w:hAnsi="Arial"/>
          <w:sz w:val="22"/>
          <w:szCs w:val="22"/>
        </w:rPr>
        <w:t xml:space="preserve">Creative Commons Attribution (CC BY 4.0). Free to use, adapt, and redistribute with attribution.</w:t>
      </w:r>
    </w:p>
    <w:p>
      <w:pPr>
        <w:pStyle w:val="ListParagraph"/>
        <w:numPr>
          <w:ilvl w:val="0"/>
          <w:numId w:val="2"/>
        </w:numPr>
        <w:spacing w:after="120"/>
      </w:pPr>
      <w:r>
        <w:rPr>
          <w:rFonts w:ascii="Arial" w:cs="Arial" w:eastAsia="Arial" w:hAnsi="Arial"/>
          <w:b/>
          <w:bCs/>
          <w:sz w:val="22"/>
          <w:szCs w:val="22"/>
        </w:rPr>
        <w:t xml:space="preserve">Why It Fits: </w:t>
      </w:r>
      <w:r>
        <w:rPr>
          <w:rFonts w:ascii="Arial" w:cs="Arial" w:eastAsia="Arial" w:hAnsi="Arial"/>
          <w:sz w:val="22"/>
          <w:szCs w:val="22"/>
        </w:rPr>
        <w:t xml:space="preserve">PLOS journals are the gold standard for open-access science with rigorous peer review. Articles consistently feature multi-group experimental designs with clear descriptions of controls, variables, and statistical findings. The writing is accessible at the upper high-school level while remaining scientifically precise.</w:t>
      </w:r>
    </w:p>
    <w:p>
      <w:pPr>
        <w:pStyle w:val="ListParagraph"/>
        <w:numPr>
          <w:ilvl w:val="0"/>
          <w:numId w:val="2"/>
        </w:numPr>
        <w:spacing w:after="120"/>
      </w:pPr>
      <w:r>
        <w:rPr>
          <w:rFonts w:ascii="Arial" w:cs="Arial" w:eastAsia="Arial" w:hAnsi="Arial"/>
          <w:b/>
          <w:bCs/>
          <w:sz w:val="22"/>
          <w:szCs w:val="22"/>
        </w:rPr>
        <w:t xml:space="preserve">2026 Alignment: </w:t>
      </w:r>
      <w:r>
        <w:rPr>
          <w:rFonts w:ascii="Arial" w:cs="Arial" w:eastAsia="Arial" w:hAnsi="Arial"/>
          <w:sz w:val="22"/>
          <w:szCs w:val="22"/>
        </w:rPr>
        <w:t xml:space="preserve">Excellent for Command of Evidence (quantitative data interpretation), study design evaluation, and inference from limited data. Articles frequently include tables and figures suitable for paired informational graphics.</w:t>
      </w:r>
    </w:p>
    <w:p>
      <w:pPr>
        <w:pStyle w:val="ListParagraph"/>
        <w:numPr>
          <w:ilvl w:val="0"/>
          <w:numId w:val="2"/>
        </w:numPr>
        <w:spacing w:after="120"/>
      </w:pPr>
      <w:r>
        <w:rPr>
          <w:rFonts w:ascii="Arial" w:cs="Arial" w:eastAsia="Arial" w:hAnsi="Arial"/>
          <w:b/>
          <w:bCs/>
          <w:sz w:val="22"/>
          <w:szCs w:val="22"/>
        </w:rPr>
        <w:t xml:space="preserve">Recommended Articles: </w:t>
      </w:r>
      <w:r>
        <w:rPr>
          <w:rFonts w:ascii="Arial" w:cs="Arial" w:eastAsia="Arial" w:hAnsi="Arial"/>
          <w:sz w:val="22"/>
          <w:szCs w:val="22"/>
        </w:rPr>
        <w:t xml:space="preserve">(a) Brooks et al., 2023 – “Multiple light signaling pathways control solar tracking in sunflowers” – compares gene expression patterns across plant species, ideal for multi-group comparison questions. (b) Rojek-Sito et al., 2023 – Neuronal circuits mediating social interaction in rats – uses optogenetic and chemogenetic approaches across treatment groups, strong for study design evaluation. (c) Chong &amp; Spencer et al., 2023 – Neustonic life in the North Pacific Garbage Patch – combines ecology and quantitative data, excellent for data interpretation.</w:t>
      </w:r>
    </w:p>
    <w:p>
      <w:pPr>
        <w:pStyle w:val="Heading2"/>
        <w:spacing w:after="200" w:before="300"/>
      </w:pPr>
      <w:r>
        <w:rPr>
          <w:rFonts w:ascii="Arial" w:cs="Arial" w:eastAsia="Arial" w:hAnsi="Arial"/>
        </w:rPr>
        <w:t xml:space="preserve">2.2 Nature Communications (Open Access)</w:t>
      </w:r>
    </w:p>
    <w:p>
      <w:pPr>
        <w:pStyle w:val="ListParagraph"/>
        <w:numPr>
          <w:ilvl w:val="0"/>
          <w:numId w:val="3"/>
        </w:numPr>
        <w:spacing w:after="120"/>
      </w:pPr>
      <w:r>
        <w:rPr>
          <w:rFonts w:ascii="Arial" w:cs="Arial" w:eastAsia="Arial" w:hAnsi="Arial"/>
          <w:b/>
          <w:bCs/>
          <w:sz w:val="22"/>
          <w:szCs w:val="22"/>
        </w:rPr>
        <w:t xml:space="preserve">License: </w:t>
      </w:r>
      <w:r>
        <w:rPr>
          <w:rFonts w:ascii="Arial" w:cs="Arial" w:eastAsia="Arial" w:hAnsi="Arial"/>
          <w:sz w:val="22"/>
          <w:szCs w:val="22"/>
        </w:rPr>
        <w:t xml:space="preserve">CC BY 4.0 for open access articles.</w:t>
      </w:r>
    </w:p>
    <w:p>
      <w:pPr>
        <w:pStyle w:val="ListParagraph"/>
        <w:numPr>
          <w:ilvl w:val="0"/>
          <w:numId w:val="3"/>
        </w:numPr>
        <w:spacing w:after="120"/>
      </w:pPr>
      <w:r>
        <w:rPr>
          <w:rFonts w:ascii="Arial" w:cs="Arial" w:eastAsia="Arial" w:hAnsi="Arial"/>
          <w:b/>
          <w:bCs/>
          <w:sz w:val="22"/>
          <w:szCs w:val="22"/>
        </w:rPr>
        <w:t xml:space="preserve">Why It Fits: </w:t>
      </w:r>
      <w:r>
        <w:rPr>
          <w:rFonts w:ascii="Arial" w:cs="Arial" w:eastAsia="Arial" w:hAnsi="Arial"/>
          <w:sz w:val="22"/>
          <w:szCs w:val="22"/>
        </w:rPr>
        <w:t xml:space="preserve">Prestigious, broad-scope journal publishing high-impact research across all natural sciences. Articles regularly feature controlled experiments with multiple treatment conditions.</w:t>
      </w:r>
    </w:p>
    <w:p>
      <w:pPr>
        <w:pStyle w:val="ListParagraph"/>
        <w:numPr>
          <w:ilvl w:val="0"/>
          <w:numId w:val="3"/>
        </w:numPr>
        <w:spacing w:after="120"/>
      </w:pPr>
      <w:r>
        <w:rPr>
          <w:rFonts w:ascii="Arial" w:cs="Arial" w:eastAsia="Arial" w:hAnsi="Arial"/>
          <w:b/>
          <w:bCs/>
          <w:sz w:val="22"/>
          <w:szCs w:val="22"/>
        </w:rPr>
        <w:t xml:space="preserve">Recommended Article: </w:t>
      </w:r>
      <w:r>
        <w:rPr>
          <w:rFonts w:ascii="Arial" w:cs="Arial" w:eastAsia="Arial" w:hAnsi="Arial"/>
          <w:sz w:val="22"/>
          <w:szCs w:val="22"/>
        </w:rPr>
        <w:t xml:space="preserve">Heuermann et al., 2023 – “Natural plant growth and development achieved in the IPK PhenoSphere” – compares plant growth under single-season simulation, averaged-season simulation, and standard glasshouse conditions across 11 maize lines. Ideal for questions about experimental design, control groups, and inferring conclusions from comparative data.</w:t>
      </w:r>
    </w:p>
    <w:p>
      <w:pPr>
        <w:pStyle w:val="Heading2"/>
        <w:spacing w:after="200" w:before="300"/>
      </w:pPr>
      <w:r>
        <w:rPr>
          <w:rFonts w:ascii="Arial" w:cs="Arial" w:eastAsia="Arial" w:hAnsi="Arial"/>
        </w:rPr>
        <w:t xml:space="preserve">2.3 Scientific Reports (Nature Portfolio, Open Access)</w:t>
      </w:r>
    </w:p>
    <w:p>
      <w:pPr>
        <w:pStyle w:val="ListParagraph"/>
        <w:numPr>
          <w:ilvl w:val="0"/>
          <w:numId w:val="4"/>
        </w:numPr>
        <w:spacing w:after="120"/>
      </w:pPr>
      <w:r>
        <w:rPr>
          <w:rFonts w:ascii="Arial" w:cs="Arial" w:eastAsia="Arial" w:hAnsi="Arial"/>
          <w:b/>
          <w:bCs/>
          <w:sz w:val="22"/>
          <w:szCs w:val="22"/>
        </w:rPr>
        <w:t xml:space="preserve">License: </w:t>
      </w:r>
      <w:r>
        <w:rPr>
          <w:rFonts w:ascii="Arial" w:cs="Arial" w:eastAsia="Arial" w:hAnsi="Arial"/>
          <w:sz w:val="22"/>
          <w:szCs w:val="22"/>
        </w:rPr>
        <w:t xml:space="preserve">CC BY 4.0.</w:t>
      </w:r>
    </w:p>
    <w:p>
      <w:pPr>
        <w:pStyle w:val="ListParagraph"/>
        <w:numPr>
          <w:ilvl w:val="0"/>
          <w:numId w:val="4"/>
        </w:numPr>
        <w:spacing w:after="120"/>
      </w:pPr>
      <w:r>
        <w:rPr>
          <w:rFonts w:ascii="Arial" w:cs="Arial" w:eastAsia="Arial" w:hAnsi="Arial"/>
          <w:b/>
          <w:bCs/>
          <w:sz w:val="22"/>
          <w:szCs w:val="22"/>
        </w:rPr>
        <w:t xml:space="preserve">Recommended Article: </w:t>
      </w:r>
      <w:r>
        <w:rPr>
          <w:rFonts w:ascii="Arial" w:cs="Arial" w:eastAsia="Arial" w:hAnsi="Arial"/>
          <w:sz w:val="22"/>
          <w:szCs w:val="22"/>
        </w:rPr>
        <w:t xml:space="preserve">Miljevic et al., 2020 – “Improving reproducibility in animal research by splitting the study population into several mini-experiments” – Directly compares a conventional standardized design against a “mini-experiment” design across independent replicates. Exemplary for testing understanding of reproducibility, variables, and multi-group scenarios.</w:t>
      </w:r>
    </w:p>
    <w:p>
      <w:pPr>
        <w:pStyle w:val="Heading2"/>
        <w:spacing w:after="200" w:before="300"/>
      </w:pPr>
      <w:r>
        <w:rPr>
          <w:rFonts w:ascii="Arial" w:cs="Arial" w:eastAsia="Arial" w:hAnsi="Arial"/>
        </w:rPr>
        <w:t xml:space="preserve">2.4 Journal of Experimental Biology (Partially Open Access)</w:t>
      </w:r>
    </w:p>
    <w:p>
      <w:pPr>
        <w:pStyle w:val="ListParagraph"/>
        <w:numPr>
          <w:ilvl w:val="0"/>
          <w:numId w:val="4"/>
        </w:numPr>
        <w:spacing w:after="120"/>
      </w:pPr>
      <w:r>
        <w:rPr>
          <w:rFonts w:ascii="Arial" w:cs="Arial" w:eastAsia="Arial" w:hAnsi="Arial"/>
          <w:b/>
          <w:bCs/>
          <w:sz w:val="22"/>
          <w:szCs w:val="22"/>
        </w:rPr>
        <w:t xml:space="preserve">Recommended Article: </w:t>
      </w:r>
      <w:r>
        <w:rPr>
          <w:rFonts w:ascii="Arial" w:cs="Arial" w:eastAsia="Arial" w:hAnsi="Arial"/>
          <w:sz w:val="22"/>
          <w:szCs w:val="22"/>
        </w:rPr>
        <w:t xml:space="preserve">Ding et al., 2024 – “Fantastic beasts and how to study them: rethinking experimental animal behavior” – Discusses the tradeoff between controlled laboratory protocols and naturalistic behavior studies. The commentary format uses sophisticated academic vocabulary in clear context, ideal for Words in Context and inference questions.</w:t>
      </w:r>
    </w:p>
    <w:p>
      <w:pPr>
        <w:pStyle w:val="Heading2"/>
        <w:spacing w:after="200" w:before="300"/>
      </w:pPr>
      <w:r>
        <w:rPr>
          <w:rFonts w:ascii="Arial" w:cs="Arial" w:eastAsia="Arial" w:hAnsi="Arial"/>
        </w:rPr>
        <w:t xml:space="preserve">2.5 MDPI Open Access Journals (Plants, IJPB)</w:t>
      </w:r>
    </w:p>
    <w:p>
      <w:pPr>
        <w:pStyle w:val="ListParagraph"/>
        <w:numPr>
          <w:ilvl w:val="0"/>
          <w:numId w:val="5"/>
        </w:numPr>
        <w:spacing w:after="120"/>
      </w:pPr>
      <w:r>
        <w:rPr>
          <w:rFonts w:ascii="Arial" w:cs="Arial" w:eastAsia="Arial" w:hAnsi="Arial"/>
          <w:b/>
          <w:bCs/>
          <w:sz w:val="22"/>
          <w:szCs w:val="22"/>
        </w:rPr>
        <w:t xml:space="preserve">License: </w:t>
      </w:r>
      <w:r>
        <w:rPr>
          <w:rFonts w:ascii="Arial" w:cs="Arial" w:eastAsia="Arial" w:hAnsi="Arial"/>
          <w:sz w:val="22"/>
          <w:szCs w:val="22"/>
        </w:rPr>
        <w:t xml:space="preserve">CC BY 4.0 across all MDPI journals.</w:t>
      </w:r>
    </w:p>
    <w:p>
      <w:pPr>
        <w:pStyle w:val="ListParagraph"/>
        <w:numPr>
          <w:ilvl w:val="0"/>
          <w:numId w:val="5"/>
        </w:numPr>
        <w:spacing w:after="120"/>
      </w:pPr>
      <w:r>
        <w:rPr>
          <w:rFonts w:ascii="Arial" w:cs="Arial" w:eastAsia="Arial" w:hAnsi="Arial"/>
          <w:b/>
          <w:bCs/>
          <w:sz w:val="22"/>
          <w:szCs w:val="22"/>
        </w:rPr>
        <w:t xml:space="preserve">Why It Fits: </w:t>
      </w:r>
      <w:r>
        <w:rPr>
          <w:rFonts w:ascii="Arial" w:cs="Arial" w:eastAsia="Arial" w:hAnsi="Arial"/>
          <w:sz w:val="22"/>
          <w:szCs w:val="22"/>
        </w:rPr>
        <w:t xml:space="preserve">MDPI plant science journals feature clearly structured multi-treatment experiments (e.g., T1 control through T5 combined treatments) with measurable outcomes. The writing style is direct and data-rich, ideal for SAT-style quantitative evidence questions.</w:t>
      </w:r>
    </w:p>
    <w:p>
      <w:pPr>
        <w:pStyle w:val="ListParagraph"/>
        <w:numPr>
          <w:ilvl w:val="0"/>
          <w:numId w:val="5"/>
        </w:numPr>
        <w:spacing w:after="120"/>
      </w:pPr>
      <w:r>
        <w:rPr>
          <w:rFonts w:ascii="Arial" w:cs="Arial" w:eastAsia="Arial" w:hAnsi="Arial"/>
          <w:b/>
          <w:bCs/>
          <w:sz w:val="22"/>
          <w:szCs w:val="22"/>
        </w:rPr>
        <w:t xml:space="preserve">Example: </w:t>
      </w:r>
      <w:r>
        <w:rPr>
          <w:rFonts w:ascii="Arial" w:cs="Arial" w:eastAsia="Arial" w:hAnsi="Arial"/>
          <w:sz w:val="22"/>
          <w:szCs w:val="22"/>
        </w:rPr>
        <w:t xml:space="preserve">2024–2025 flax productivity studies evaluating five treatment groups (control, mineral fertilization, foliar nutrients, biofertilizer, and combined) with seed yield, protein, and oil content measurements across each group.</w:t>
      </w:r>
    </w:p>
    <w:p>
      <w:pPr>
        <w:pStyle w:val="Heading3"/>
        <w:spacing w:after="200" w:before="300"/>
      </w:pPr>
      <w:r>
        <w:rPr>
          <w:rFonts w:ascii="Arial" w:cs="Arial" w:eastAsia="Arial" w:hAnsi="Arial"/>
        </w:rPr>
        <w:t xml:space="preserve">Science Domain Evaluation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c>
          <w:tcPr>
            <w:tcW w:type="dxa" w:w="1872"/>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Multi-Group Design</w:t>
            </w:r>
          </w:p>
        </w:tc>
        <w:tc>
          <w:tcPr>
            <w:tcW w:type="dxa" w:w="1872"/>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Lexile Fit</w:t>
            </w:r>
          </w:p>
        </w:tc>
        <w:tc>
          <w:tcPr>
            <w:tcW w:type="dxa" w:w="1872"/>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Copyright Clear</w:t>
            </w:r>
          </w:p>
        </w:tc>
        <w:tc>
          <w:tcPr>
            <w:tcW w:type="dxa" w:w="1872"/>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Overall Rating</w:t>
            </w:r>
          </w:p>
        </w:tc>
      </w:tr>
      <w:tr>
        <w:tc>
          <w:tcPr>
            <w:tcW w:type="dxa" w:w="1872"/>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sz w:val="20"/>
                <w:szCs w:val="20"/>
              </w:rPr>
              <w:t xml:space="preserve">PLOS Biology</w:t>
            </w:r>
          </w:p>
        </w:tc>
        <w:tc>
          <w:tcPr>
            <w:tcW w:type="dxa" w:w="1872"/>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Excellent</w:t>
            </w:r>
          </w:p>
        </w:tc>
        <w:tc>
          <w:tcPr>
            <w:tcW w:type="dxa" w:w="1872"/>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1100L–1300L</w:t>
            </w:r>
          </w:p>
        </w:tc>
        <w:tc>
          <w:tcPr>
            <w:tcW w:type="dxa" w:w="1872"/>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CC BY 4.0</w:t>
            </w:r>
          </w:p>
        </w:tc>
        <w:tc>
          <w:tcPr>
            <w:tcW w:type="dxa" w:w="1872"/>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A+</w:t>
            </w:r>
          </w:p>
        </w:tc>
      </w:tr>
      <w:tr>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Nature Comms</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Excellent</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1150L–1350L</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CC BY 4.0 (OA)</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w:t>
            </w:r>
          </w:p>
        </w:tc>
      </w:tr>
      <w:tr>
        <w:tc>
          <w:tcPr>
            <w:tcW w:type="dxa" w:w="1872"/>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sz w:val="20"/>
                <w:szCs w:val="20"/>
              </w:rPr>
              <w:t xml:space="preserve">Scientific Reports</w:t>
            </w:r>
          </w:p>
        </w:tc>
        <w:tc>
          <w:tcPr>
            <w:tcW w:type="dxa" w:w="1872"/>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Strong</w:t>
            </w:r>
          </w:p>
        </w:tc>
        <w:tc>
          <w:tcPr>
            <w:tcW w:type="dxa" w:w="1872"/>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1100L–1250L</w:t>
            </w:r>
          </w:p>
        </w:tc>
        <w:tc>
          <w:tcPr>
            <w:tcW w:type="dxa" w:w="1872"/>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CC BY 4.0</w:t>
            </w:r>
          </w:p>
        </w:tc>
        <w:tc>
          <w:tcPr>
            <w:tcW w:type="dxa" w:w="1872"/>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A</w:t>
            </w:r>
          </w:p>
        </w:tc>
      </w:tr>
      <w:tr>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J. Exp. Biology</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Strong</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1150L–1300L</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Partial OA</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w:t>
            </w:r>
          </w:p>
        </w:tc>
      </w:tr>
      <w:tr>
        <w:tc>
          <w:tcPr>
            <w:tcW w:type="dxa" w:w="1872"/>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sz w:val="20"/>
                <w:szCs w:val="20"/>
              </w:rPr>
              <w:t xml:space="preserve">MDPI Journals</w:t>
            </w:r>
          </w:p>
        </w:tc>
        <w:tc>
          <w:tcPr>
            <w:tcW w:type="dxa" w:w="1872"/>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Excellent</w:t>
            </w:r>
          </w:p>
        </w:tc>
        <w:tc>
          <w:tcPr>
            <w:tcW w:type="dxa" w:w="1872"/>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1050L–1200L</w:t>
            </w:r>
          </w:p>
        </w:tc>
        <w:tc>
          <w:tcPr>
            <w:tcW w:type="dxa" w:w="1872"/>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CC BY 4.0</w:t>
            </w:r>
          </w:p>
        </w:tc>
        <w:tc>
          <w:tcPr>
            <w:tcW w:type="dxa" w:w="1872"/>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A</w:t>
            </w:r>
          </w:p>
        </w:tc>
      </w:tr>
    </w:tbl>
    <w:p>
      <w:pPr>
        <w:spacing w:after="200"/>
      </w:pPr>
    </w:p>
    <w:p>
      <w:pPr>
        <w:pStyle w:val="Heading1"/>
        <w:spacing w:after="200" w:before="300"/>
      </w:pPr>
      <w:r>
        <w:rPr>
          <w:rFonts w:ascii="Arial" w:cs="Arial" w:eastAsia="Arial" w:hAnsi="Arial"/>
        </w:rPr>
        <w:t xml:space="preserve">3. Literature Domain (Fiction/Prose)</w:t>
      </w:r>
    </w:p>
    <w:p>
      <w:pPr>
        <w:spacing w:after="200"/>
      </w:pPr>
      <w:r>
        <w:rPr>
          <w:rFonts w:ascii="Arial" w:cs="Arial" w:eastAsia="Arial" w:hAnsi="Arial"/>
          <w:sz w:val="22"/>
          <w:szCs w:val="22"/>
        </w:rPr>
        <w:t xml:space="preserve">The 2026 shift emphasizes nuanced inference questions and paraphrasing recognition. Source material should enable questions where students identify equivalent meanings expressed in different language.</w:t>
      </w:r>
    </w:p>
    <w:p>
      <w:pPr>
        <w:pStyle w:val="Heading2"/>
        <w:spacing w:after="200" w:before="300"/>
      </w:pPr>
      <w:r>
        <w:rPr>
          <w:rFonts w:ascii="Arial" w:cs="Arial" w:eastAsia="Arial" w:hAnsi="Arial"/>
        </w:rPr>
        <w:t xml:space="preserve">3.1 Public Domain Works (Project Gutenberg / HathiTrust)</w:t>
      </w:r>
    </w:p>
    <w:p>
      <w:pPr>
        <w:pStyle w:val="ListParagraph"/>
        <w:numPr>
          <w:ilvl w:val="0"/>
          <w:numId w:val="6"/>
        </w:numPr>
        <w:spacing w:after="120"/>
      </w:pPr>
      <w:r>
        <w:rPr>
          <w:rFonts w:ascii="Arial" w:cs="Arial" w:eastAsia="Arial" w:hAnsi="Arial"/>
          <w:b/>
          <w:bCs/>
          <w:sz w:val="22"/>
          <w:szCs w:val="22"/>
        </w:rPr>
        <w:t xml:space="preserve">License: </w:t>
      </w:r>
      <w:r>
        <w:rPr>
          <w:rFonts w:ascii="Arial" w:cs="Arial" w:eastAsia="Arial" w:hAnsi="Arial"/>
          <w:sz w:val="22"/>
          <w:szCs w:val="22"/>
        </w:rPr>
        <w:t xml:space="preserve">Public domain – no copyright restrictions.</w:t>
      </w:r>
    </w:p>
    <w:p>
      <w:pPr>
        <w:pStyle w:val="ListParagraph"/>
        <w:numPr>
          <w:ilvl w:val="0"/>
          <w:numId w:val="6"/>
        </w:numPr>
        <w:spacing w:after="120"/>
      </w:pPr>
      <w:r>
        <w:rPr>
          <w:rFonts w:ascii="Arial" w:cs="Arial" w:eastAsia="Arial" w:hAnsi="Arial"/>
          <w:b/>
          <w:bCs/>
          <w:sz w:val="22"/>
          <w:szCs w:val="22"/>
        </w:rPr>
        <w:t xml:space="preserve">2024–2026 New Entries: </w:t>
      </w:r>
      <w:r>
        <w:rPr>
          <w:rFonts w:ascii="Arial" w:cs="Arial" w:eastAsia="Arial" w:hAnsi="Arial"/>
          <w:sz w:val="22"/>
          <w:szCs w:val="22"/>
        </w:rPr>
        <w:t xml:space="preserve">Works published in 1928–1930 are now entering the public domain, including works by Virginia Woolf (Orlando), Langston Hughes (Fine Clothes to the Jew), W.E.B. Du Bois, D.H. Lawrence (Lady Chatterley’s Lover), and Agatha Christie. These provide diverse author representation and rich narrative/thematic depth.</w:t>
      </w:r>
    </w:p>
    <w:p>
      <w:pPr>
        <w:pStyle w:val="ListParagraph"/>
        <w:numPr>
          <w:ilvl w:val="0"/>
          <w:numId w:val="6"/>
        </w:numPr>
        <w:spacing w:after="120"/>
      </w:pPr>
      <w:r>
        <w:rPr>
          <w:rFonts w:ascii="Arial" w:cs="Arial" w:eastAsia="Arial" w:hAnsi="Arial"/>
          <w:b/>
          <w:bCs/>
          <w:sz w:val="22"/>
          <w:szCs w:val="22"/>
        </w:rPr>
        <w:t xml:space="preserve">Recommended Excerpts: </w:t>
      </w:r>
      <w:r>
        <w:rPr>
          <w:rFonts w:ascii="Arial" w:cs="Arial" w:eastAsia="Arial" w:hAnsi="Arial"/>
          <w:sz w:val="22"/>
          <w:szCs w:val="22"/>
        </w:rPr>
        <w:t xml:space="preserve">(a) Virginia Woolf, Orlando (1928) – Gender, identity, and time; lyrical prose with layered meaning ideal for inference and vocabulary-in-context questions. (b) Langston Hughes, Fine Clothes to the Jew (1927, public domain) – African American experience, accessible yet thematically deep. (c) Nella Larsen, Quicksand (1928) – Race, identity, and belonging; strong character development and narrative voice from a Harlem Renaissance author.</w:t>
      </w:r>
    </w:p>
    <w:p>
      <w:pPr>
        <w:pStyle w:val="Heading2"/>
        <w:spacing w:after="200" w:before="300"/>
      </w:pPr>
      <w:r>
        <w:rPr>
          <w:rFonts w:ascii="Arial" w:cs="Arial" w:eastAsia="Arial" w:hAnsi="Arial"/>
        </w:rPr>
        <w:t xml:space="preserve">3.2 Creative Commons Licensed Fiction</w:t>
      </w:r>
    </w:p>
    <w:p>
      <w:pPr>
        <w:pStyle w:val="ListParagraph"/>
        <w:numPr>
          <w:ilvl w:val="0"/>
          <w:numId w:val="6"/>
        </w:numPr>
        <w:spacing w:after="120"/>
      </w:pPr>
      <w:r>
        <w:rPr>
          <w:rFonts w:ascii="Arial" w:cs="Arial" w:eastAsia="Arial" w:hAnsi="Arial"/>
          <w:b/>
          <w:bCs/>
          <w:sz w:val="22"/>
          <w:szCs w:val="22"/>
        </w:rPr>
        <w:t xml:space="preserve">Cory Doctorow’s Works: </w:t>
      </w:r>
      <w:r>
        <w:rPr>
          <w:rFonts w:ascii="Arial" w:cs="Arial" w:eastAsia="Arial" w:hAnsi="Arial"/>
          <w:sz w:val="22"/>
          <w:szCs w:val="22"/>
        </w:rPr>
        <w:t xml:space="preserve">Published under Creative Commons licenses and available via Project Gutenberg. Doctorow’s science fiction explores technology, surveillance, and civil liberties – contemporary themes accessible to high school readers with clear narrative structure.</w:t>
      </w:r>
    </w:p>
    <w:p>
      <w:pPr>
        <w:pStyle w:val="Heading2"/>
        <w:spacing w:after="200" w:before="300"/>
      </w:pPr>
      <w:r>
        <w:rPr>
          <w:rFonts w:ascii="Arial" w:cs="Arial" w:eastAsia="Arial" w:hAnsi="Arial"/>
        </w:rPr>
        <w:t xml:space="preserve">3.3 Literary Magazines (Excerpt Licensing Required)</w:t>
      </w:r>
    </w:p>
    <w:p>
      <w:pPr>
        <w:spacing w:after="200"/>
      </w:pPr>
      <w:r>
        <w:rPr>
          <w:rFonts w:ascii="Arial" w:cs="Arial" w:eastAsia="Arial" w:hAnsi="Arial"/>
          <w:sz w:val="22"/>
          <w:szCs w:val="22"/>
        </w:rPr>
        <w:t xml:space="preserve">The following top-tier literary magazines publish contemporary diverse fiction suitable for excerpting. Each would require licensing agreements for test use:</w:t>
      </w:r>
    </w:p>
    <w:p>
      <w:pPr>
        <w:pStyle w:val="ListParagraph"/>
        <w:numPr>
          <w:ilvl w:val="0"/>
          <w:numId w:val="6"/>
        </w:numPr>
        <w:spacing w:after="120"/>
      </w:pPr>
      <w:r>
        <w:rPr>
          <w:rFonts w:ascii="Arial" w:cs="Arial" w:eastAsia="Arial" w:hAnsi="Arial"/>
          <w:b/>
          <w:bCs/>
          <w:sz w:val="22"/>
          <w:szCs w:val="22"/>
        </w:rPr>
        <w:t xml:space="preserve">Granta: </w:t>
      </w:r>
      <w:r>
        <w:rPr>
          <w:rFonts w:ascii="Arial" w:cs="Arial" w:eastAsia="Arial" w:hAnsi="Arial"/>
          <w:sz w:val="22"/>
          <w:szCs w:val="22"/>
        </w:rPr>
        <w:t xml:space="preserve">International literary magazine promoting new voices. Offers reduced-fee submissions for marginalized writers. Contemporary global fiction with strong character development.</w:t>
      </w:r>
    </w:p>
    <w:p>
      <w:pPr>
        <w:pStyle w:val="ListParagraph"/>
        <w:numPr>
          <w:ilvl w:val="0"/>
          <w:numId w:val="6"/>
        </w:numPr>
        <w:spacing w:after="120"/>
      </w:pPr>
      <w:r>
        <w:rPr>
          <w:rFonts w:ascii="Arial" w:cs="Arial" w:eastAsia="Arial" w:hAnsi="Arial"/>
          <w:b/>
          <w:bCs/>
          <w:sz w:val="22"/>
          <w:szCs w:val="22"/>
        </w:rPr>
        <w:t xml:space="preserve">The Iowa Review: </w:t>
      </w:r>
      <w:r>
        <w:rPr>
          <w:rFonts w:ascii="Arial" w:cs="Arial" w:eastAsia="Arial" w:hAnsi="Arial"/>
          <w:sz w:val="22"/>
          <w:szCs w:val="22"/>
        </w:rPr>
        <w:t xml:space="preserve">Published through the University of Iowa, features diverse fiction and poetry with thematic depth.</w:t>
      </w:r>
    </w:p>
    <w:p>
      <w:pPr>
        <w:pStyle w:val="ListParagraph"/>
        <w:numPr>
          <w:ilvl w:val="0"/>
          <w:numId w:val="6"/>
        </w:numPr>
        <w:spacing w:after="120"/>
      </w:pPr>
      <w:r>
        <w:rPr>
          <w:rFonts w:ascii="Arial" w:cs="Arial" w:eastAsia="Arial" w:hAnsi="Arial"/>
          <w:b/>
          <w:bCs/>
          <w:sz w:val="22"/>
          <w:szCs w:val="22"/>
        </w:rPr>
        <w:t xml:space="preserve">American Short Fiction: </w:t>
      </w:r>
      <w:r>
        <w:rPr>
          <w:rFonts w:ascii="Arial" w:cs="Arial" w:eastAsia="Arial" w:hAnsi="Arial"/>
          <w:sz w:val="22"/>
          <w:szCs w:val="22"/>
        </w:rPr>
        <w:t xml:space="preserve">Publishes both established and emerging authors, with stories under 2000 words available online – ideal excerpt length.</w:t>
      </w:r>
    </w:p>
    <w:p>
      <w:pPr>
        <w:pStyle w:val="ListParagraph"/>
        <w:numPr>
          <w:ilvl w:val="0"/>
          <w:numId w:val="6"/>
        </w:numPr>
        <w:spacing w:after="120"/>
      </w:pPr>
      <w:r>
        <w:rPr>
          <w:rFonts w:ascii="Arial" w:cs="Arial" w:eastAsia="Arial" w:hAnsi="Arial"/>
          <w:b/>
          <w:bCs/>
          <w:sz w:val="22"/>
          <w:szCs w:val="22"/>
        </w:rPr>
        <w:t xml:space="preserve">One Story: </w:t>
      </w:r>
      <w:r>
        <w:rPr>
          <w:rFonts w:ascii="Arial" w:cs="Arial" w:eastAsia="Arial" w:hAnsi="Arial"/>
          <w:sz w:val="22"/>
          <w:szCs w:val="22"/>
        </w:rPr>
        <w:t xml:space="preserve">Publishes one story per issue, emphasizing narrative craft and accessibility.</w:t>
      </w:r>
    </w:p>
    <w:p>
      <w:pPr>
        <w:pStyle w:val="Heading1"/>
        <w:spacing w:after="200" w:before="300"/>
      </w:pPr>
      <w:r>
        <w:rPr>
          <w:rFonts w:ascii="Arial" w:cs="Arial" w:eastAsia="Arial" w:hAnsi="Arial"/>
        </w:rPr>
        <w:t xml:space="preserve">4. History / Social Studies Domain</w:t>
      </w:r>
    </w:p>
    <w:p>
      <w:pPr>
        <w:spacing w:after="200"/>
      </w:pPr>
      <w:r>
        <w:rPr>
          <w:rFonts w:ascii="Arial" w:cs="Arial" w:eastAsia="Arial" w:hAnsi="Arial"/>
          <w:sz w:val="22"/>
          <w:szCs w:val="22"/>
        </w:rPr>
        <w:t xml:space="preserve">The 2026 shift prioritizes texts that discuss study designs, evaluate conflicting interpretations, and present evidence-based arguments about trends. The following sources offer strong alignment:</w:t>
      </w:r>
    </w:p>
    <w:p>
      <w:pPr>
        <w:pStyle w:val="Heading2"/>
        <w:spacing w:after="200" w:before="300"/>
      </w:pPr>
      <w:r>
        <w:rPr>
          <w:rFonts w:ascii="Arial" w:cs="Arial" w:eastAsia="Arial" w:hAnsi="Arial"/>
        </w:rPr>
        <w:t xml:space="preserve">4.1 Journal of Economic History (Cambridge, Partial OA)</w:t>
      </w:r>
    </w:p>
    <w:p>
      <w:pPr>
        <w:pStyle w:val="ListParagraph"/>
        <w:numPr>
          <w:ilvl w:val="0"/>
          <w:numId w:val="7"/>
        </w:numPr>
        <w:spacing w:after="120"/>
      </w:pPr>
      <w:r>
        <w:rPr>
          <w:rFonts w:ascii="Arial" w:cs="Arial" w:eastAsia="Arial" w:hAnsi="Arial"/>
          <w:b/>
          <w:bCs/>
          <w:sz w:val="22"/>
          <w:szCs w:val="22"/>
        </w:rPr>
        <w:t xml:space="preserve">Why It Fits: </w:t>
      </w:r>
      <w:r>
        <w:rPr>
          <w:rFonts w:ascii="Arial" w:cs="Arial" w:eastAsia="Arial" w:hAnsi="Arial"/>
          <w:sz w:val="22"/>
          <w:szCs w:val="22"/>
        </w:rPr>
        <w:t xml:space="preserve">Publishes rigorously argued, evidence-based analyses of economic and social history. Articles regularly evaluate competing hypotheses and use quantitative data to support claims. The open-access collection includes articles on intergenerational mobility in China across six centuries, the Marshall Plan’s impact on Italian infrastructure, and the economic consequences of WWII mobilization.</w:t>
      </w:r>
    </w:p>
    <w:p>
      <w:pPr>
        <w:pStyle w:val="ListParagraph"/>
        <w:numPr>
          <w:ilvl w:val="0"/>
          <w:numId w:val="7"/>
        </w:numPr>
        <w:spacing w:after="120"/>
      </w:pPr>
      <w:r>
        <w:rPr>
          <w:rFonts w:ascii="Arial" w:cs="Arial" w:eastAsia="Arial" w:hAnsi="Arial"/>
          <w:b/>
          <w:bCs/>
          <w:sz w:val="22"/>
          <w:szCs w:val="22"/>
        </w:rPr>
        <w:t xml:space="preserve">2026 Alignment: </w:t>
      </w:r>
      <w:r>
        <w:rPr>
          <w:rFonts w:ascii="Arial" w:cs="Arial" w:eastAsia="Arial" w:hAnsi="Arial"/>
          <w:sz w:val="22"/>
          <w:szCs w:val="22"/>
        </w:rPr>
        <w:t xml:space="preserve">Excellent for Command of Evidence questions requiring students to evaluate claims against specific textual data, and for questions about conflicting historical interpretations.</w:t>
      </w:r>
    </w:p>
    <w:p>
      <w:pPr>
        <w:pStyle w:val="Heading2"/>
        <w:spacing w:after="200" w:before="300"/>
      </w:pPr>
      <w:r>
        <w:rPr>
          <w:rFonts w:ascii="Arial" w:cs="Arial" w:eastAsia="Arial" w:hAnsi="Arial"/>
        </w:rPr>
        <w:t xml:space="preserve">4.2 NBER Working Papers (Open Access)</w:t>
      </w:r>
    </w:p>
    <w:p>
      <w:pPr>
        <w:pStyle w:val="ListParagraph"/>
        <w:numPr>
          <w:ilvl w:val="0"/>
          <w:numId w:val="7"/>
        </w:numPr>
        <w:spacing w:after="120"/>
      </w:pPr>
      <w:r>
        <w:rPr>
          <w:rFonts w:ascii="Arial" w:cs="Arial" w:eastAsia="Arial" w:hAnsi="Arial"/>
          <w:b/>
          <w:bCs/>
          <w:sz w:val="22"/>
          <w:szCs w:val="22"/>
        </w:rPr>
        <w:t xml:space="preserve">License: </w:t>
      </w:r>
      <w:r>
        <w:rPr>
          <w:rFonts w:ascii="Arial" w:cs="Arial" w:eastAsia="Arial" w:hAnsi="Arial"/>
          <w:sz w:val="22"/>
          <w:szCs w:val="22"/>
        </w:rPr>
        <w:t xml:space="preserve">Freely accessible online working papers from the National Bureau of Economic Research.</w:t>
      </w:r>
    </w:p>
    <w:p>
      <w:pPr>
        <w:pStyle w:val="ListParagraph"/>
        <w:numPr>
          <w:ilvl w:val="0"/>
          <w:numId w:val="7"/>
        </w:numPr>
        <w:spacing w:after="120"/>
      </w:pPr>
      <w:r>
        <w:rPr>
          <w:rFonts w:ascii="Arial" w:cs="Arial" w:eastAsia="Arial" w:hAnsi="Arial"/>
          <w:b/>
          <w:bCs/>
          <w:sz w:val="22"/>
          <w:szCs w:val="22"/>
        </w:rPr>
        <w:t xml:space="preserve">Recommended: </w:t>
      </w:r>
      <w:r>
        <w:rPr>
          <w:rFonts w:ascii="Arial" w:cs="Arial" w:eastAsia="Arial" w:hAnsi="Arial"/>
          <w:sz w:val="22"/>
          <w:szCs w:val="22"/>
        </w:rPr>
        <w:t xml:space="preserve">Temin (2014) – “Economic History and Economic Development” – surveys the intersection of historical economic analysis and modern development. Covers the Black Death’s effect on European wages, the Industrial Revolution’s relationship to factor prices, and the legacy of colonial institutions. Writing uses sophisticated but accessible academic language.</w:t>
      </w:r>
    </w:p>
    <w:p>
      <w:pPr>
        <w:pStyle w:val="Heading2"/>
        <w:spacing w:after="200" w:before="300"/>
      </w:pPr>
      <w:r>
        <w:rPr>
          <w:rFonts w:ascii="Arial" w:cs="Arial" w:eastAsia="Arial" w:hAnsi="Arial"/>
        </w:rPr>
        <w:t xml:space="preserve">4.3 Digital Commons Network (Open Access Repository)</w:t>
      </w:r>
    </w:p>
    <w:p>
      <w:pPr>
        <w:pStyle w:val="ListParagraph"/>
        <w:numPr>
          <w:ilvl w:val="0"/>
          <w:numId w:val="7"/>
        </w:numPr>
        <w:spacing w:after="120"/>
      </w:pPr>
      <w:r>
        <w:rPr>
          <w:rFonts w:ascii="Arial" w:cs="Arial" w:eastAsia="Arial" w:hAnsi="Arial"/>
          <w:b/>
          <w:bCs/>
          <w:sz w:val="22"/>
          <w:szCs w:val="22"/>
        </w:rPr>
        <w:t xml:space="preserve">Why It Fits: </w:t>
      </w:r>
      <w:r>
        <w:rPr>
          <w:rFonts w:ascii="Arial" w:cs="Arial" w:eastAsia="Arial" w:hAnsi="Arial"/>
          <w:sz w:val="22"/>
          <w:szCs w:val="22"/>
        </w:rPr>
        <w:t xml:space="preserve">Hosts open-access articles from institutions worldwide on economic history topics including Japan’s zaibatsu system, Mexico’s drug economy and privatization, and European banking union governance. Articles feature clear argumentative structure with evidence and cause-and-effect reasoning.</w:t>
      </w:r>
    </w:p>
    <w:p>
      <w:pPr>
        <w:pStyle w:val="Heading2"/>
        <w:spacing w:after="200" w:before="300"/>
      </w:pPr>
      <w:r>
        <w:rPr>
          <w:rFonts w:ascii="Arial" w:cs="Arial" w:eastAsia="Arial" w:hAnsi="Arial"/>
        </w:rPr>
        <w:t xml:space="preserve">4.4 Sociological/Psychological Sources</w:t>
      </w:r>
    </w:p>
    <w:p>
      <w:pPr>
        <w:pStyle w:val="ListParagraph"/>
        <w:numPr>
          <w:ilvl w:val="0"/>
          <w:numId w:val="7"/>
        </w:numPr>
        <w:spacing w:after="120"/>
      </w:pPr>
      <w:r>
        <w:rPr>
          <w:rFonts w:ascii="Arial" w:cs="Arial" w:eastAsia="Arial" w:hAnsi="Arial"/>
          <w:b/>
          <w:bCs/>
          <w:sz w:val="22"/>
          <w:szCs w:val="22"/>
        </w:rPr>
        <w:t xml:space="preserve">PLOS ONE Social Sciences: </w:t>
      </w:r>
      <w:r>
        <w:rPr>
          <w:rFonts w:ascii="Arial" w:cs="Arial" w:eastAsia="Arial" w:hAnsi="Arial"/>
          <w:sz w:val="22"/>
          <w:szCs w:val="22"/>
        </w:rPr>
        <w:t xml:space="preserve">Open access (CC BY 4.0). Features study-design-rich social science research covering urban development, behavioral economics, and cross-cultural psychology. Ideal for passages that present findings from surveys or experiments and ask students to evaluate methodology or draw conclusions from data.</w:t>
      </w:r>
    </w:p>
    <w:p>
      <w:pPr>
        <w:pStyle w:val="Heading1"/>
        <w:spacing w:after="200" w:before="300"/>
      </w:pPr>
      <w:r>
        <w:rPr>
          <w:rFonts w:ascii="Arial" w:cs="Arial" w:eastAsia="Arial" w:hAnsi="Arial"/>
        </w:rPr>
        <w:t xml:space="preserve">5. Humanities Domain (Art, Music, Philosophy, Cultural Criticism)</w:t>
      </w:r>
    </w:p>
    <w:p>
      <w:pPr>
        <w:spacing w:after="200"/>
      </w:pPr>
      <w:r>
        <w:rPr>
          <w:rFonts w:ascii="Arial" w:cs="Arial" w:eastAsia="Arial" w:hAnsi="Arial"/>
          <w:sz w:val="22"/>
          <w:szCs w:val="22"/>
        </w:rPr>
        <w:t xml:space="preserve">The 2026 shift emphasizes solid academic vocabulary over obscure or archaic terms. Texts should feature rhetorical analysis and critical commentary accessible to advanced high school readers.</w:t>
      </w:r>
    </w:p>
    <w:p>
      <w:pPr>
        <w:pStyle w:val="Heading2"/>
        <w:spacing w:after="200" w:before="300"/>
      </w:pPr>
      <w:r>
        <w:rPr>
          <w:rFonts w:ascii="Arial" w:cs="Arial" w:eastAsia="Arial" w:hAnsi="Arial"/>
        </w:rPr>
        <w:t xml:space="preserve">5.1 Rupkatha Journal on Interdisciplinary Studies in Humanities (OA)</w:t>
      </w:r>
    </w:p>
    <w:p>
      <w:pPr>
        <w:pStyle w:val="ListParagraph"/>
        <w:numPr>
          <w:ilvl w:val="0"/>
          <w:numId w:val="8"/>
        </w:numPr>
        <w:spacing w:after="120"/>
      </w:pPr>
      <w:r>
        <w:rPr>
          <w:rFonts w:ascii="Arial" w:cs="Arial" w:eastAsia="Arial" w:hAnsi="Arial"/>
          <w:b/>
          <w:bCs/>
          <w:sz w:val="22"/>
          <w:szCs w:val="22"/>
        </w:rPr>
        <w:t xml:space="preserve">License: </w:t>
      </w:r>
      <w:r>
        <w:rPr>
          <w:rFonts w:ascii="Arial" w:cs="Arial" w:eastAsia="Arial" w:hAnsi="Arial"/>
          <w:sz w:val="22"/>
          <w:szCs w:val="22"/>
        </w:rPr>
        <w:t xml:space="preserve">Open access, indexed in Web of Science ESCI and DOAJ.</w:t>
      </w:r>
    </w:p>
    <w:p>
      <w:pPr>
        <w:pStyle w:val="ListParagraph"/>
        <w:numPr>
          <w:ilvl w:val="0"/>
          <w:numId w:val="8"/>
        </w:numPr>
        <w:spacing w:after="120"/>
      </w:pPr>
      <w:r>
        <w:rPr>
          <w:rFonts w:ascii="Arial" w:cs="Arial" w:eastAsia="Arial" w:hAnsi="Arial"/>
          <w:b/>
          <w:bCs/>
          <w:sz w:val="22"/>
          <w:szCs w:val="22"/>
        </w:rPr>
        <w:t xml:space="preserve">Recommended: </w:t>
      </w:r>
      <w:r>
        <w:rPr>
          <w:rFonts w:ascii="Arial" w:cs="Arial" w:eastAsia="Arial" w:hAnsi="Arial"/>
          <w:sz w:val="22"/>
          <w:szCs w:val="22"/>
        </w:rPr>
        <w:t xml:space="preserve">Gemtou (2010/reprinted) – “Subjectivity in Art History and Art Criticism” – Analyzes rational vs. emotional approaches to evaluating artworks. Uses Tier 2 academic vocabulary (e.g., “intersubjective,” “hermeneutical,” “deontological”) in clear, contextualized prose. Ideal for Words in Context, rhetorical analysis, and transition questions.</w:t>
      </w:r>
    </w:p>
    <w:p>
      <w:pPr>
        <w:pStyle w:val="Heading2"/>
        <w:spacing w:after="200" w:before="300"/>
      </w:pPr>
      <w:r>
        <w:rPr>
          <w:rFonts w:ascii="Arial" w:cs="Arial" w:eastAsia="Arial" w:hAnsi="Arial"/>
        </w:rPr>
        <w:t xml:space="preserve">5.2 Oxford Academic – Journal of Aesthetics and Art Criticism</w:t>
      </w:r>
    </w:p>
    <w:p>
      <w:pPr>
        <w:pStyle w:val="ListParagraph"/>
        <w:numPr>
          <w:ilvl w:val="0"/>
          <w:numId w:val="8"/>
        </w:numPr>
        <w:spacing w:after="120"/>
      </w:pPr>
      <w:r>
        <w:rPr>
          <w:rFonts w:ascii="Arial" w:cs="Arial" w:eastAsia="Arial" w:hAnsi="Arial"/>
          <w:b/>
          <w:bCs/>
          <w:sz w:val="22"/>
          <w:szCs w:val="22"/>
        </w:rPr>
        <w:t xml:space="preserve">Recommended: </w:t>
      </w:r>
      <w:r>
        <w:rPr>
          <w:rFonts w:ascii="Arial" w:cs="Arial" w:eastAsia="Arial" w:hAnsi="Arial"/>
          <w:sz w:val="22"/>
          <w:szCs w:val="22"/>
        </w:rPr>
        <w:t xml:space="preserve">Beech (2021) – “Art Criticism in the Contracted Field” – Examines how art criticism has evolved through postmodernism. Features complex logical relationships (contrast between modernist authority and postmodern pluralism) suitable for testing nuanced transitions. Strong rhetorical structure with clear thesis-evidence-counterpoint progression.</w:t>
      </w:r>
    </w:p>
    <w:p>
      <w:pPr>
        <w:pStyle w:val="Heading2"/>
        <w:spacing w:after="200" w:before="300"/>
      </w:pPr>
      <w:r>
        <w:rPr>
          <w:rFonts w:ascii="Arial" w:cs="Arial" w:eastAsia="Arial" w:hAnsi="Arial"/>
        </w:rPr>
        <w:t xml:space="preserve">5.3 Cambridge Core – Public Humanities (OA)</w:t>
      </w:r>
    </w:p>
    <w:p>
      <w:pPr>
        <w:pStyle w:val="ListParagraph"/>
        <w:numPr>
          <w:ilvl w:val="0"/>
          <w:numId w:val="8"/>
        </w:numPr>
        <w:spacing w:after="120"/>
      </w:pPr>
      <w:r>
        <w:rPr>
          <w:rFonts w:ascii="Arial" w:cs="Arial" w:eastAsia="Arial" w:hAnsi="Arial"/>
          <w:b/>
          <w:bCs/>
          <w:sz w:val="22"/>
          <w:szCs w:val="22"/>
        </w:rPr>
        <w:t xml:space="preserve">Recommended: </w:t>
      </w:r>
      <w:r>
        <w:rPr>
          <w:rFonts w:ascii="Arial" w:cs="Arial" w:eastAsia="Arial" w:hAnsi="Arial"/>
          <w:sz w:val="22"/>
          <w:szCs w:val="22"/>
        </w:rPr>
        <w:t xml:space="preserve">Articles on digital humanities and postscholarly criticism (2024–2025) explore how literary analysis has transformed in the social platform era. Ideal for passages about cultural criticism that use contemporary, accessible academic language rather than archaic vocabulary.</w:t>
      </w:r>
    </w:p>
    <w:p>
      <w:pPr>
        <w:pStyle w:val="Heading2"/>
        <w:spacing w:after="200" w:before="300"/>
      </w:pPr>
      <w:r>
        <w:rPr>
          <w:rFonts w:ascii="Arial" w:cs="Arial" w:eastAsia="Arial" w:hAnsi="Arial"/>
        </w:rPr>
        <w:t xml:space="preserve">5.4 Art and Design Review (SCIRP, CC BY 4.0)</w:t>
      </w:r>
    </w:p>
    <w:p>
      <w:pPr>
        <w:pStyle w:val="ListParagraph"/>
        <w:numPr>
          <w:ilvl w:val="0"/>
          <w:numId w:val="8"/>
        </w:numPr>
        <w:spacing w:after="120"/>
      </w:pPr>
      <w:r>
        <w:rPr>
          <w:rFonts w:ascii="Arial" w:cs="Arial" w:eastAsia="Arial" w:hAnsi="Arial"/>
          <w:b/>
          <w:bCs/>
          <w:sz w:val="22"/>
          <w:szCs w:val="22"/>
        </w:rPr>
        <w:t xml:space="preserve">Why It Fits: </w:t>
      </w:r>
      <w:r>
        <w:rPr>
          <w:rFonts w:ascii="Arial" w:cs="Arial" w:eastAsia="Arial" w:hAnsi="Arial"/>
          <w:sz w:val="22"/>
          <w:szCs w:val="22"/>
        </w:rPr>
        <w:t xml:space="preserve">Publishes peer-reviewed essays on contemporary art criticism with a global perspective (e.g., comparing Chinese and Congolese contemporary art practices). Articles feature formal, conceptual, and contextual analysis frameworks that mirror the type of critical reasoning tested on the SAT.</w:t>
      </w:r>
    </w:p>
    <w:p>
      <w:pPr>
        <w:pStyle w:val="Heading1"/>
        <w:spacing w:after="200" w:before="300"/>
      </w:pPr>
      <w:r>
        <w:rPr>
          <w:rFonts w:ascii="Arial" w:cs="Arial" w:eastAsia="Arial" w:hAnsi="Arial"/>
        </w:rPr>
        <w:t xml:space="preserve">6. Cross-Domain Evaluation Against 2026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2026 Skill</w:t>
            </w:r>
          </w:p>
        </w:tc>
        <w:tc>
          <w:tcPr>
            <w:tcW w:type="dxa" w:w="1872"/>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Literature</w:t>
            </w:r>
          </w:p>
        </w:tc>
        <w:tc>
          <w:tcPr>
            <w:tcW w:type="dxa" w:w="1872"/>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History/SS</w:t>
            </w:r>
          </w:p>
        </w:tc>
        <w:tc>
          <w:tcPr>
            <w:tcW w:type="dxa" w:w="1872"/>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Science</w:t>
            </w:r>
          </w:p>
        </w:tc>
        <w:tc>
          <w:tcPr>
            <w:tcW w:type="dxa" w:w="1872"/>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Humanities</w:t>
            </w:r>
          </w:p>
        </w:tc>
      </w:tr>
      <w:tr>
        <w:tc>
          <w:tcPr>
            <w:tcW w:type="dxa" w:w="1872"/>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sz w:val="20"/>
                <w:szCs w:val="20"/>
              </w:rPr>
              <w:t xml:space="preserve">Command of Evidence</w:t>
            </w:r>
          </w:p>
        </w:tc>
        <w:tc>
          <w:tcPr>
            <w:tcW w:type="dxa" w:w="1872"/>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Good – textual citations</w:t>
            </w:r>
          </w:p>
        </w:tc>
        <w:tc>
          <w:tcPr>
            <w:tcW w:type="dxa" w:w="1872"/>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Excellent – data + text</w:t>
            </w:r>
          </w:p>
        </w:tc>
        <w:tc>
          <w:tcPr>
            <w:tcW w:type="dxa" w:w="1872"/>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Excellent – quantitative + textual</w:t>
            </w:r>
          </w:p>
        </w:tc>
        <w:tc>
          <w:tcPr>
            <w:tcW w:type="dxa" w:w="1872"/>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Good – textual</w:t>
            </w:r>
          </w:p>
        </w:tc>
      </w:tr>
      <w:tr>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Inference / Paraphrasing</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Excellent – layered meaning</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Strong – competing claims</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Strong – implicit conclusions</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Excellent – aesthetic argument</w:t>
            </w:r>
          </w:p>
        </w:tc>
      </w:tr>
      <w:tr>
        <w:tc>
          <w:tcPr>
            <w:tcW w:type="dxa" w:w="1872"/>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sz w:val="20"/>
                <w:szCs w:val="20"/>
              </w:rPr>
              <w:t xml:space="preserve">Words in Context</w:t>
            </w:r>
          </w:p>
        </w:tc>
        <w:tc>
          <w:tcPr>
            <w:tcW w:type="dxa" w:w="1872"/>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Excellent – literary vocab</w:t>
            </w:r>
          </w:p>
        </w:tc>
        <w:tc>
          <w:tcPr>
            <w:tcW w:type="dxa" w:w="1872"/>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Strong – Tier 2 econ/political</w:t>
            </w:r>
          </w:p>
        </w:tc>
        <w:tc>
          <w:tcPr>
            <w:tcW w:type="dxa" w:w="1872"/>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Strong – academic science</w:t>
            </w:r>
          </w:p>
        </w:tc>
        <w:tc>
          <w:tcPr>
            <w:tcW w:type="dxa" w:w="1872"/>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Excellent – critical theory vocab</w:t>
            </w:r>
          </w:p>
        </w:tc>
      </w:tr>
      <w:tr>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Study Design Evaluation</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Strong – methodology discussion</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Excellent – core strength</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1872"/>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sz w:val="20"/>
                <w:szCs w:val="20"/>
              </w:rPr>
              <w:t xml:space="preserve">Transitions / Rhetoric</w:t>
            </w:r>
          </w:p>
        </w:tc>
        <w:tc>
          <w:tcPr>
            <w:tcW w:type="dxa" w:w="1872"/>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Strong – narrative flow</w:t>
            </w:r>
          </w:p>
        </w:tc>
        <w:tc>
          <w:tcPr>
            <w:tcW w:type="dxa" w:w="1872"/>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Excellent – argumentative logic</w:t>
            </w:r>
          </w:p>
        </w:tc>
        <w:tc>
          <w:tcPr>
            <w:tcW w:type="dxa" w:w="1872"/>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Good – technical logic</w:t>
            </w:r>
          </w:p>
        </w:tc>
        <w:tc>
          <w:tcPr>
            <w:tcW w:type="dxa" w:w="1872"/>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Excellent – critical structure</w:t>
            </w:r>
          </w:p>
        </w:tc>
      </w:tr>
    </w:tbl>
    <w:p>
      <w:pPr>
        <w:spacing w:after="200"/>
      </w:pPr>
    </w:p>
    <w:p>
      <w:pPr>
        <w:pStyle w:val="Heading1"/>
        <w:spacing w:after="200" w:before="300"/>
      </w:pPr>
      <w:r>
        <w:rPr>
          <w:rFonts w:ascii="Arial" w:cs="Arial" w:eastAsia="Arial" w:hAnsi="Arial"/>
        </w:rPr>
        <w:t xml:space="preserve">7. Copyright &amp; Licensing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 Category</w:t>
            </w:r>
          </w:p>
        </w:tc>
        <w:tc>
          <w:tcPr>
            <w:tcW w:type="dxa" w:w="234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License Type</w:t>
            </w:r>
          </w:p>
        </w:tc>
        <w:tc>
          <w:tcPr>
            <w:tcW w:type="dxa" w:w="234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Educational Use</w:t>
            </w:r>
          </w:p>
        </w:tc>
        <w:tc>
          <w:tcPr>
            <w:tcW w:type="dxa" w:w="234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Required</w:t>
            </w:r>
          </w:p>
        </w:tc>
      </w:tr>
      <w:tr>
        <w:tc>
          <w:tcPr>
            <w:tcW w:type="dxa" w:w="234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sz w:val="20"/>
                <w:szCs w:val="20"/>
              </w:rPr>
              <w:t xml:space="preserve">Project Gutenberg</w:t>
            </w:r>
          </w:p>
        </w:tc>
        <w:tc>
          <w:tcPr>
            <w:tcW w:type="dxa" w:w="234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Public Domain (US)</w:t>
            </w:r>
          </w:p>
        </w:tc>
        <w:tc>
          <w:tcPr>
            <w:tcW w:type="dxa" w:w="234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Unrestricted</w:t>
            </w:r>
          </w:p>
        </w:tc>
        <w:tc>
          <w:tcPr>
            <w:tcW w:type="dxa" w:w="234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None – free to use</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PLOS Journals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CC BY 4.0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Unrestricted with attribution</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Include attribution</w:t>
            </w:r>
          </w:p>
        </w:tc>
      </w:tr>
      <w:tr>
        <w:tc>
          <w:tcPr>
            <w:tcW w:type="dxa" w:w="234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sz w:val="20"/>
                <w:szCs w:val="20"/>
              </w:rPr>
              <w:t xml:space="preserve">Nature Comms / Sci. Reports</w:t>
            </w:r>
          </w:p>
        </w:tc>
        <w:tc>
          <w:tcPr>
            <w:tcW w:type="dxa" w:w="234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CC BY 4.0 (OA articles)</w:t>
            </w:r>
          </w:p>
        </w:tc>
        <w:tc>
          <w:tcPr>
            <w:tcW w:type="dxa" w:w="234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Unrestricted with attribution</w:t>
            </w:r>
          </w:p>
        </w:tc>
        <w:tc>
          <w:tcPr>
            <w:tcW w:type="dxa" w:w="234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Verify OA status per article</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MDPI Journals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CC BY 4.0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Unrestricted with attribution</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Include attribution</w:t>
            </w:r>
          </w:p>
        </w:tc>
      </w:tr>
      <w:tr>
        <w:tc>
          <w:tcPr>
            <w:tcW w:type="dxa" w:w="234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sz w:val="20"/>
                <w:szCs w:val="20"/>
              </w:rPr>
              <w:t xml:space="preserve">Cambridge Core (OA)</w:t>
            </w:r>
          </w:p>
        </w:tc>
        <w:tc>
          <w:tcPr>
            <w:tcW w:type="dxa" w:w="234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CC BY / Partial OA</w:t>
            </w:r>
          </w:p>
        </w:tc>
        <w:tc>
          <w:tcPr>
            <w:tcW w:type="dxa" w:w="234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Varies by article</w:t>
            </w:r>
          </w:p>
        </w:tc>
        <w:tc>
          <w:tcPr>
            <w:tcW w:type="dxa" w:w="234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Check per-article license</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NBER Working Papers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Freely accessible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Fair use for educational</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Confirm per-paper terms</w:t>
            </w:r>
          </w:p>
        </w:tc>
      </w:tr>
      <w:tr>
        <w:tc>
          <w:tcPr>
            <w:tcW w:type="dxa" w:w="234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sz w:val="20"/>
                <w:szCs w:val="20"/>
              </w:rPr>
              <w:t xml:space="preserve">Literary Magazines</w:t>
            </w:r>
          </w:p>
        </w:tc>
        <w:tc>
          <w:tcPr>
            <w:tcW w:type="dxa" w:w="234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Copyrighted</w:t>
            </w:r>
          </w:p>
        </w:tc>
        <w:tc>
          <w:tcPr>
            <w:tcW w:type="dxa" w:w="234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Requires licensing</w:t>
            </w:r>
          </w:p>
        </w:tc>
        <w:tc>
          <w:tcPr>
            <w:tcW w:type="dxa" w:w="234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sz w:val="20"/>
                <w:szCs w:val="20"/>
              </w:rPr>
              <w:t xml:space="preserve">Negotiate excerpt rights</w:t>
            </w:r>
          </w:p>
        </w:tc>
      </w:tr>
    </w:tbl>
    <w:p>
      <w:pPr>
        <w:spacing w:after="200"/>
      </w:pPr>
    </w:p>
    <w:p>
      <w:pPr>
        <w:pStyle w:val="Heading1"/>
        <w:spacing w:after="200" w:before="300"/>
      </w:pPr>
      <w:r>
        <w:rPr>
          <w:rFonts w:ascii="Arial" w:cs="Arial" w:eastAsia="Arial" w:hAnsi="Arial"/>
        </w:rPr>
        <w:t xml:space="preserve">8. Author Diversity Assessment</w:t>
      </w:r>
    </w:p>
    <w:p>
      <w:pPr>
        <w:spacing w:after="200"/>
      </w:pPr>
      <w:r>
        <w:rPr>
          <w:rFonts w:ascii="Arial" w:cs="Arial" w:eastAsia="Arial" w:hAnsi="Arial"/>
          <w:sz w:val="22"/>
          <w:szCs w:val="22"/>
        </w:rPr>
        <w:t xml:space="preserve">The sourced materials provide strong demographic diversity across the four domains:</w:t>
      </w:r>
    </w:p>
    <w:p>
      <w:pPr>
        <w:pStyle w:val="ListParagraph"/>
        <w:numPr>
          <w:ilvl w:val="0"/>
          <w:numId w:val="6"/>
        </w:numPr>
        <w:spacing w:after="120"/>
      </w:pPr>
      <w:r>
        <w:rPr>
          <w:rFonts w:ascii="Arial" w:cs="Arial" w:eastAsia="Arial" w:hAnsi="Arial"/>
          <w:b/>
          <w:bCs/>
          <w:sz w:val="22"/>
          <w:szCs w:val="22"/>
        </w:rPr>
        <w:t xml:space="preserve">Racial/Ethnic Diversity: </w:t>
      </w:r>
      <w:r>
        <w:rPr>
          <w:rFonts w:ascii="Arial" w:cs="Arial" w:eastAsia="Arial" w:hAnsi="Arial"/>
          <w:sz w:val="22"/>
          <w:szCs w:val="22"/>
        </w:rPr>
        <w:t xml:space="preserve">Public domain entries include Langston Hughes and W.E.B. Du Bois (African American), Nella Larsen (biracial/Harlem Renaissance). PLOS and Nature journals feature global research teams from Asia, Africa, Europe, and the Americas. The humanities sources include analyses of Congolese, Chinese, and Latin American art traditions.</w:t>
      </w:r>
    </w:p>
    <w:p>
      <w:pPr>
        <w:pStyle w:val="ListParagraph"/>
        <w:numPr>
          <w:ilvl w:val="0"/>
          <w:numId w:val="6"/>
        </w:numPr>
        <w:spacing w:after="120"/>
      </w:pPr>
      <w:r>
        <w:rPr>
          <w:rFonts w:ascii="Arial" w:cs="Arial" w:eastAsia="Arial" w:hAnsi="Arial"/>
          <w:b/>
          <w:bCs/>
          <w:sz w:val="22"/>
          <w:szCs w:val="22"/>
        </w:rPr>
        <w:t xml:space="preserve">Gender Diversity: </w:t>
      </w:r>
      <w:r>
        <w:rPr>
          <w:rFonts w:ascii="Arial" w:cs="Arial" w:eastAsia="Arial" w:hAnsi="Arial"/>
          <w:sz w:val="22"/>
          <w:szCs w:val="22"/>
        </w:rPr>
        <w:t xml:space="preserve">Virginia Woolf and Nella Larsen provide strong female literary voices. Science journals feature mixed-gender research teams. Humanities sources address feminist art criticism traditions.</w:t>
      </w:r>
    </w:p>
    <w:p>
      <w:pPr>
        <w:pStyle w:val="ListParagraph"/>
        <w:numPr>
          <w:ilvl w:val="0"/>
          <w:numId w:val="6"/>
        </w:numPr>
        <w:spacing w:after="120"/>
      </w:pPr>
      <w:r>
        <w:rPr>
          <w:rFonts w:ascii="Arial" w:cs="Arial" w:eastAsia="Arial" w:hAnsi="Arial"/>
          <w:b/>
          <w:bCs/>
          <w:sz w:val="22"/>
          <w:szCs w:val="22"/>
        </w:rPr>
        <w:t xml:space="preserve">Geographic Diversity: </w:t>
      </w:r>
      <w:r>
        <w:rPr>
          <w:rFonts w:ascii="Arial" w:cs="Arial" w:eastAsia="Arial" w:hAnsi="Arial"/>
          <w:sz w:val="22"/>
          <w:szCs w:val="22"/>
        </w:rPr>
        <w:t xml:space="preserve">Sources span the US, UK, continental Europe, East Asia, Latin America, Sub-Saharan Africa, and Australia. Economic history sources cover Portuguese, Swedish, Chinese, Japanese, and Colombian contexts.</w:t>
      </w:r>
    </w:p>
    <w:p>
      <w:pPr>
        <w:pStyle w:val="ListParagraph"/>
        <w:numPr>
          <w:ilvl w:val="0"/>
          <w:numId w:val="6"/>
        </w:numPr>
        <w:spacing w:after="120"/>
      </w:pPr>
      <w:r>
        <w:rPr>
          <w:rFonts w:ascii="Arial" w:cs="Arial" w:eastAsia="Arial" w:hAnsi="Arial"/>
          <w:b/>
          <w:bCs/>
          <w:sz w:val="22"/>
          <w:szCs w:val="22"/>
        </w:rPr>
        <w:t xml:space="preserve">Gap Identified: </w:t>
      </w:r>
      <w:r>
        <w:rPr>
          <w:rFonts w:ascii="Arial" w:cs="Arial" w:eastAsia="Arial" w:hAnsi="Arial"/>
          <w:sz w:val="22"/>
          <w:szCs w:val="22"/>
        </w:rPr>
        <w:t xml:space="preserve">Additional sourcing recommended for contemporary Indigenous and South Asian literary voices, and for Middle Eastern/North African humanities perspectives. Consider supplementing with works from journals like Wasafiri (international contemporary writing) or Asian American Literary Review.</w:t>
      </w:r>
    </w:p>
    <w:p>
      <w:pPr>
        <w:pStyle w:val="Heading1"/>
        <w:spacing w:after="200" w:before="300"/>
      </w:pPr>
      <w:r>
        <w:rPr>
          <w:rFonts w:ascii="Arial" w:cs="Arial" w:eastAsia="Arial" w:hAnsi="Arial"/>
        </w:rPr>
        <w:t xml:space="preserve">9. Recommended Next Steps</w:t>
      </w:r>
    </w:p>
    <w:p>
      <w:pPr>
        <w:pStyle w:val="ListParagraph"/>
        <w:numPr>
          <w:ilvl w:val="0"/>
          <w:numId w:val="9"/>
        </w:numPr>
        <w:spacing w:after="120"/>
      </w:pPr>
      <w:r>
        <w:rPr>
          <w:rFonts w:ascii="Arial" w:cs="Arial" w:eastAsia="Arial" w:hAnsi="Arial"/>
          <w:b/>
          <w:bCs/>
          <w:sz w:val="22"/>
          <w:szCs w:val="22"/>
        </w:rPr>
        <w:t xml:space="preserve">Excerpt Curation: </w:t>
      </w:r>
      <w:r>
        <w:rPr>
          <w:rFonts w:ascii="Arial" w:cs="Arial" w:eastAsia="Arial" w:hAnsi="Arial"/>
          <w:sz w:val="22"/>
          <w:szCs w:val="22"/>
        </w:rPr>
        <w:t xml:space="preserve">Extract 25–150 word passages from recommended sources and assess each against Lexile 1050L–1335L range using a readability analyzer.</w:t>
      </w:r>
    </w:p>
    <w:p>
      <w:pPr>
        <w:pStyle w:val="ListParagraph"/>
        <w:numPr>
          <w:ilvl w:val="0"/>
          <w:numId w:val="9"/>
        </w:numPr>
        <w:spacing w:after="120"/>
      </w:pPr>
      <w:r>
        <w:rPr>
          <w:rFonts w:ascii="Arial" w:cs="Arial" w:eastAsia="Arial" w:hAnsi="Arial"/>
          <w:b/>
          <w:bCs/>
          <w:sz w:val="22"/>
          <w:szCs w:val="22"/>
        </w:rPr>
        <w:t xml:space="preserve">Question Prototyping: </w:t>
      </w:r>
      <w:r>
        <w:rPr>
          <w:rFonts w:ascii="Arial" w:cs="Arial" w:eastAsia="Arial" w:hAnsi="Arial"/>
          <w:sz w:val="22"/>
          <w:szCs w:val="22"/>
        </w:rPr>
        <w:t xml:space="preserve">Develop 3–5 sample questions per excerpt covering all four content domains (Craft &amp; Structure, Information &amp; Ideas, Standard English Conventions, Expression of Ideas).</w:t>
      </w:r>
    </w:p>
    <w:p>
      <w:pPr>
        <w:pStyle w:val="ListParagraph"/>
        <w:numPr>
          <w:ilvl w:val="0"/>
          <w:numId w:val="9"/>
        </w:numPr>
        <w:spacing w:after="120"/>
      </w:pPr>
      <w:r>
        <w:rPr>
          <w:rFonts w:ascii="Arial" w:cs="Arial" w:eastAsia="Arial" w:hAnsi="Arial"/>
          <w:b/>
          <w:bCs/>
          <w:sz w:val="22"/>
          <w:szCs w:val="22"/>
        </w:rPr>
        <w:t xml:space="preserve">Distractor Validation: </w:t>
      </w:r>
      <w:r>
        <w:rPr>
          <w:rFonts w:ascii="Arial" w:cs="Arial" w:eastAsia="Arial" w:hAnsi="Arial"/>
          <w:sz w:val="22"/>
          <w:szCs w:val="22"/>
        </w:rPr>
        <w:t xml:space="preserve">For each question, verify that incorrect options sound plausible but fail due to specific textual inaccuracies, per the 2026 Command of Evidence refinement.</w:t>
      </w:r>
    </w:p>
    <w:p>
      <w:pPr>
        <w:pStyle w:val="ListParagraph"/>
        <w:numPr>
          <w:ilvl w:val="0"/>
          <w:numId w:val="9"/>
        </w:numPr>
        <w:spacing w:after="120"/>
      </w:pPr>
      <w:r>
        <w:rPr>
          <w:rFonts w:ascii="Arial" w:cs="Arial" w:eastAsia="Arial" w:hAnsi="Arial"/>
          <w:b/>
          <w:bCs/>
          <w:sz w:val="22"/>
          <w:szCs w:val="22"/>
        </w:rPr>
        <w:t xml:space="preserve">Licensing Clearance: </w:t>
      </w:r>
      <w:r>
        <w:rPr>
          <w:rFonts w:ascii="Arial" w:cs="Arial" w:eastAsia="Arial" w:hAnsi="Arial"/>
          <w:sz w:val="22"/>
          <w:szCs w:val="22"/>
        </w:rPr>
        <w:t xml:space="preserve">For any non-public-domain, non-CC-licensed materials, initiate licensing conversations with publishers. Prioritize CC BY sources to minimize clearance overhead.</w:t>
      </w:r>
    </w:p>
    <w:p>
      <w:pPr>
        <w:pStyle w:val="ListParagraph"/>
        <w:numPr>
          <w:ilvl w:val="0"/>
          <w:numId w:val="9"/>
        </w:numPr>
        <w:spacing w:after="120"/>
      </w:pPr>
      <w:r>
        <w:rPr>
          <w:rFonts w:ascii="Arial" w:cs="Arial" w:eastAsia="Arial" w:hAnsi="Arial"/>
          <w:b/>
          <w:bCs/>
          <w:sz w:val="22"/>
          <w:szCs w:val="22"/>
        </w:rPr>
        <w:t xml:space="preserve">Bias Review: </w:t>
      </w:r>
      <w:r>
        <w:rPr>
          <w:rFonts w:ascii="Arial" w:cs="Arial" w:eastAsia="Arial" w:hAnsi="Arial"/>
          <w:sz w:val="22"/>
          <w:szCs w:val="22"/>
        </w:rPr>
        <w:t xml:space="preserve">Submit all selected passages through a sensitivity review panel to confirm freedom from political, religious, or cultural bias that would distract from assessment goals.</w:t>
      </w:r>
    </w:p>
    <w:p>
      <w:pPr>
        <w:pStyle w:val="ListParagraph"/>
        <w:numPr>
          <w:ilvl w:val="0"/>
          <w:numId w:val="9"/>
        </w:numPr>
        <w:spacing w:after="120"/>
      </w:pPr>
      <w:r>
        <w:rPr>
          <w:rFonts w:ascii="Arial" w:cs="Arial" w:eastAsia="Arial" w:hAnsi="Arial"/>
          <w:b/>
          <w:bCs/>
          <w:sz w:val="22"/>
          <w:szCs w:val="22"/>
        </w:rPr>
        <w:t xml:space="preserve">Diversity Gap Fill: </w:t>
      </w:r>
      <w:r>
        <w:rPr>
          <w:rFonts w:ascii="Arial" w:cs="Arial" w:eastAsia="Arial" w:hAnsi="Arial"/>
          <w:sz w:val="22"/>
          <w:szCs w:val="22"/>
        </w:rPr>
        <w:t xml:space="preserve">Supplement with targeted searches for Indigenous, South Asian, and MENA literary and humanities voices to ensure comprehensive demographic representation.</w:t>
      </w:r>
    </w:p>
    <w:p>
      <w:pPr>
        <w:pBdr>
          <w:top w:val="single" w:color="2E75B6" w:sz="4" w:space="8"/>
        </w:pBdr>
        <w:spacing w:before="400"/>
      </w:pPr>
    </w:p>
    <w:p>
      <w:pPr>
        <w:jc w:val="center"/>
      </w:pPr>
      <w:r>
        <w:rPr>
          <w:rFonts w:ascii="Arial" w:cs="Arial" w:eastAsia="Arial" w:hAnsi="Arial"/>
          <w:i/>
          <w:iCs/>
          <w:color w:val="999999"/>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SAT R&amp;W Source Material Evaluation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8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2026-03-19T02:11:25.157Z</dcterms:created>
  <dcterms:modified xsi:type="dcterms:W3CDTF">2026-03-19T02:11:25.158Z</dcterms:modified>
</cp:coreProperties>
</file>

<file path=docProps/custom.xml><?xml version="1.0" encoding="utf-8"?>
<Properties xmlns="http://schemas.openxmlformats.org/officeDocument/2006/custom-properties" xmlns:vt="http://schemas.openxmlformats.org/officeDocument/2006/docPropsVTypes"/>
</file>