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F384" w14:textId="7F5B5F6B" w:rsidR="00253E27" w:rsidRPr="00887A66" w:rsidRDefault="00887A66" w:rsidP="00887A66">
      <w:pPr>
        <w:shd w:val="clear" w:color="auto" w:fill="FFFFFF"/>
        <w:spacing w:before="261" w:after="174"/>
        <w:outlineLvl w:val="0"/>
        <w:rPr>
          <w:kern w:val="36"/>
          <w:sz w:val="52"/>
          <w:szCs w:val="52"/>
        </w:rPr>
      </w:pPr>
      <w:r w:rsidRPr="00887A66">
        <w:rPr>
          <w:kern w:val="36"/>
          <w:sz w:val="52"/>
          <w:szCs w:val="52"/>
        </w:rPr>
        <w:t>Modeling Framework</w:t>
      </w:r>
    </w:p>
    <w:p w14:paraId="18C07B13" w14:textId="77777777" w:rsidR="00253E27" w:rsidRDefault="00253E27"/>
    <w:p w14:paraId="0FBD6FCA" w14:textId="77777777" w:rsidR="00253E27" w:rsidRDefault="00253E27"/>
    <w:p w14:paraId="48D00838" w14:textId="77777777" w:rsidR="0035761E" w:rsidRDefault="00253E27" w:rsidP="0035761E">
      <w:pPr>
        <w:spacing w:before="100" w:beforeAutospacing="1" w:after="100" w:afterAutospacing="1"/>
        <w:outlineLvl w:val="0"/>
        <w:rPr>
          <w:b/>
          <w:bCs/>
          <w:kern w:val="36"/>
          <w:sz w:val="28"/>
          <w:szCs w:val="28"/>
        </w:rPr>
      </w:pPr>
      <w:r w:rsidRPr="00253E27">
        <w:rPr>
          <w:b/>
          <w:bCs/>
          <w:kern w:val="36"/>
          <w:sz w:val="28"/>
          <w:szCs w:val="28"/>
        </w:rPr>
        <w:t>1) Describe the data clearly (provenance, format, and missing-data issues)</w:t>
      </w:r>
    </w:p>
    <w:p w14:paraId="4DC5F623" w14:textId="1A746E78" w:rsidR="00253E27" w:rsidRDefault="0035761E" w:rsidP="00523CA0">
      <w:pPr>
        <w:spacing w:before="100" w:beforeAutospacing="1" w:after="100" w:afterAutospacing="1"/>
        <w:ind w:left="720"/>
        <w:outlineLvl w:val="0"/>
        <w:rPr>
          <w:rFonts w:ascii="Segoe UI" w:hAnsi="Segoe UI" w:cs="Segoe UI"/>
          <w:i/>
          <w:iCs/>
          <w:sz w:val="21"/>
          <w:szCs w:val="21"/>
        </w:rPr>
      </w:pPr>
      <w:r w:rsidRPr="0035761E">
        <w:rPr>
          <w:rFonts w:ascii="Segoe UI" w:hAnsi="Segoe UI" w:cs="Segoe UI"/>
          <w:i/>
          <w:iCs/>
          <w:sz w:val="21"/>
          <w:szCs w:val="21"/>
        </w:rPr>
        <w:t>Describe the data clearly -- particularly any missing data that might impact your analysis -- and the provenance of your dataset. Who collected the data and why? (10/100 pts)</w:t>
      </w:r>
    </w:p>
    <w:p w14:paraId="137CB764" w14:textId="05FDD8BE" w:rsidR="0035761E" w:rsidRPr="00523CA0" w:rsidRDefault="0035761E" w:rsidP="00523CA0">
      <w:pPr>
        <w:shd w:val="clear" w:color="auto" w:fill="FFFFFF"/>
        <w:ind w:left="720"/>
        <w:rPr>
          <w:rFonts w:ascii="Segoe UI" w:hAnsi="Segoe UI" w:cs="Segoe UI"/>
          <w:i/>
          <w:iCs/>
          <w:sz w:val="21"/>
          <w:szCs w:val="21"/>
        </w:rPr>
      </w:pPr>
      <w:r w:rsidRPr="00523CA0">
        <w:rPr>
          <w:rFonts w:ascii="Segoe UI" w:hAnsi="Segoe UI" w:cs="Segoe UI"/>
          <w:i/>
          <w:iCs/>
          <w:sz w:val="21"/>
          <w:szCs w:val="21"/>
        </w:rPr>
        <w:t xml:space="preserve">SIPRI Arms Trade: The SIPRI Arms Transfers Database is a comprehensive public resource tracking all international transfers of major conventional arms from 1950 to the present. For each deal, information </w:t>
      </w:r>
      <w:proofErr w:type="gramStart"/>
      <w:r w:rsidRPr="00523CA0">
        <w:rPr>
          <w:rFonts w:ascii="Segoe UI" w:hAnsi="Segoe UI" w:cs="Segoe UI"/>
          <w:i/>
          <w:iCs/>
          <w:sz w:val="21"/>
          <w:szCs w:val="21"/>
        </w:rPr>
        <w:t>includes:</w:t>
      </w:r>
      <w:proofErr w:type="gramEnd"/>
      <w:r w:rsidRPr="00523CA0">
        <w:rPr>
          <w:rFonts w:ascii="Segoe UI" w:hAnsi="Segoe UI" w:cs="Segoe UI"/>
          <w:i/>
          <w:iCs/>
          <w:sz w:val="21"/>
          <w:szCs w:val="21"/>
        </w:rPr>
        <w:t xml:space="preserve"> number ordered, supplier/recipient identities, weapon types, delivery dates, and deal comments. The database can address questions </w:t>
      </w:r>
      <w:proofErr w:type="gramStart"/>
      <w:r w:rsidRPr="00523CA0">
        <w:rPr>
          <w:rFonts w:ascii="Segoe UI" w:hAnsi="Segoe UI" w:cs="Segoe UI"/>
          <w:i/>
          <w:iCs/>
          <w:sz w:val="21"/>
          <w:szCs w:val="21"/>
        </w:rPr>
        <w:t>about:</w:t>
      </w:r>
      <w:proofErr w:type="gramEnd"/>
      <w:r w:rsidRPr="00523CA0">
        <w:rPr>
          <w:rFonts w:ascii="Segoe UI" w:hAnsi="Segoe UI" w:cs="Segoe UI"/>
          <w:i/>
          <w:iCs/>
          <w:sz w:val="21"/>
          <w:szCs w:val="21"/>
        </w:rPr>
        <w:t xml:space="preserve"> who are suppliers and recipients of major weapons, what weapons have been transferred by specific countries, and how supplier-recipient relationships have changed over time. </w:t>
      </w:r>
      <w:hyperlink r:id="rId7" w:history="1">
        <w:r w:rsidRPr="00523CA0">
          <w:rPr>
            <w:rFonts w:ascii="Segoe UI" w:hAnsi="Segoe UI" w:cs="Segoe UI"/>
            <w:i/>
            <w:iCs/>
            <w:color w:val="0969DA"/>
            <w:sz w:val="21"/>
            <w:szCs w:val="21"/>
            <w:u w:val="single"/>
          </w:rPr>
          <w:t>https://www.sipri.org/d</w:t>
        </w:r>
        <w:r w:rsidRPr="00523CA0">
          <w:rPr>
            <w:rFonts w:ascii="Segoe UI" w:hAnsi="Segoe UI" w:cs="Segoe UI"/>
            <w:i/>
            <w:iCs/>
            <w:color w:val="0969DA"/>
            <w:sz w:val="21"/>
            <w:szCs w:val="21"/>
            <w:u w:val="single"/>
          </w:rPr>
          <w:t>a</w:t>
        </w:r>
        <w:r w:rsidRPr="00523CA0">
          <w:rPr>
            <w:rFonts w:ascii="Segoe UI" w:hAnsi="Segoe UI" w:cs="Segoe UI"/>
            <w:i/>
            <w:iCs/>
            <w:color w:val="0969DA"/>
            <w:sz w:val="21"/>
            <w:szCs w:val="21"/>
            <w:u w:val="single"/>
          </w:rPr>
          <w:t>tabases/armstransfers</w:t>
        </w:r>
      </w:hyperlink>
    </w:p>
    <w:p w14:paraId="43D77C54" w14:textId="77777777" w:rsidR="0035761E" w:rsidRPr="00253E27" w:rsidRDefault="0035761E" w:rsidP="0035761E">
      <w:pPr>
        <w:shd w:val="clear" w:color="auto" w:fill="FFFFFF"/>
        <w:rPr>
          <w:rFonts w:ascii="Segoe UI" w:hAnsi="Segoe UI" w:cs="Segoe UI"/>
          <w:sz w:val="21"/>
          <w:szCs w:val="21"/>
          <w:highlight w:val="yellow"/>
        </w:rPr>
      </w:pPr>
    </w:p>
    <w:p w14:paraId="09619F95" w14:textId="5E2673D6" w:rsidR="00253E27" w:rsidRPr="000B4AEA" w:rsidRDefault="00253E27" w:rsidP="00E3115B">
      <w:pPr>
        <w:spacing w:before="100" w:beforeAutospacing="1" w:after="100" w:afterAutospacing="1"/>
      </w:pPr>
      <w:r w:rsidRPr="00253E27">
        <w:rPr>
          <w:b/>
          <w:bCs/>
        </w:rPr>
        <w:t>Provenance &amp; intent</w:t>
      </w:r>
      <w:r w:rsidR="00E3115B" w:rsidRPr="000B4AEA">
        <w:t xml:space="preserve">: </w:t>
      </w:r>
      <w:r w:rsidR="00523CA0">
        <w:t xml:space="preserve">The </w:t>
      </w:r>
      <w:r w:rsidR="00523CA0" w:rsidRPr="00523CA0">
        <w:t>Stockholm International Peace Research Institute</w:t>
      </w:r>
      <w:r w:rsidR="00523CA0">
        <w:t xml:space="preserve"> (</w:t>
      </w:r>
      <w:r w:rsidRPr="00253E27">
        <w:t>SIPRI</w:t>
      </w:r>
      <w:r w:rsidR="00523CA0">
        <w:t>)</w:t>
      </w:r>
      <w:r w:rsidRPr="00253E27">
        <w:t xml:space="preserve"> is a widely used, public, research-oriented source. The primary dataset is the SIPRI Arms Transfers database / trade register (the CSV </w:t>
      </w:r>
      <w:r w:rsidRPr="000B4AEA">
        <w:t>we created**</w:t>
      </w:r>
      <w:r w:rsidRPr="00253E27">
        <w:t xml:space="preserve">). SIPRI’s Arms Transfers Database documents deliveries of major conventional arms since 1950 and uses its own volume metric called the Trend-Indicator Value (TIV) to make weapons comparable across types. </w:t>
      </w:r>
    </w:p>
    <w:p w14:paraId="0C2248B1" w14:textId="12855646" w:rsidR="00253E27" w:rsidRPr="00253E27" w:rsidRDefault="00253E27" w:rsidP="00253E27">
      <w:pPr>
        <w:spacing w:before="100" w:beforeAutospacing="1" w:after="100" w:afterAutospacing="1"/>
        <w:ind w:left="720"/>
      </w:pPr>
      <w:r w:rsidRPr="000B4AEA">
        <w:t>[</w:t>
      </w:r>
      <w:r w:rsidRPr="000B4AEA">
        <w:rPr>
          <w:u w:val="single"/>
        </w:rPr>
        <w:t>NOTE</w:t>
      </w:r>
      <w:r w:rsidRPr="000B4AEA">
        <w:t>:</w:t>
      </w:r>
      <w:r w:rsidRPr="00253E27">
        <w:t xml:space="preserve"> </w:t>
      </w:r>
      <w:r w:rsidRPr="00253E27">
        <w:rPr>
          <w:b/>
          <w:bCs/>
        </w:rPr>
        <w:t>TIV measures military capability/volume, not contract USD</w:t>
      </w:r>
      <w:r w:rsidRPr="000B4AEA">
        <w:t>… d</w:t>
      </w:r>
      <w:r w:rsidRPr="00253E27">
        <w:t>on’t treat TIV as literal monetary value</w:t>
      </w:r>
      <w:r w:rsidRPr="000B4AEA">
        <w:t>]</w:t>
      </w:r>
    </w:p>
    <w:p w14:paraId="2789C1B9" w14:textId="2FEC23C0" w:rsidR="00253E27" w:rsidRPr="00253E27" w:rsidRDefault="00253E27" w:rsidP="00E3115B">
      <w:pPr>
        <w:spacing w:before="100" w:beforeAutospacing="1" w:after="100" w:afterAutospacing="1"/>
        <w:rPr>
          <w:b/>
          <w:bCs/>
        </w:rPr>
      </w:pPr>
      <w:r w:rsidRPr="000B4AEA">
        <w:rPr>
          <w:b/>
          <w:bCs/>
        </w:rPr>
        <w:t>Columns/categories</w:t>
      </w:r>
      <w:r w:rsidR="00E3115B" w:rsidRPr="000B4AEA">
        <w:rPr>
          <w:b/>
          <w:bCs/>
        </w:rPr>
        <w:t xml:space="preserve">: </w:t>
      </w:r>
      <w:r w:rsidRPr="00253E27">
        <w:t>recipient country, supplier country</w:t>
      </w:r>
      <w:r w:rsidRPr="000B4AEA">
        <w:t>,</w:t>
      </w:r>
      <w:r w:rsidRPr="00253E27">
        <w:t xml:space="preserve"> delivery year, item name/weapon description, number/quantity</w:t>
      </w:r>
      <w:r w:rsidRPr="000B4AEA">
        <w:t>,</w:t>
      </w:r>
      <w:r w:rsidRPr="00253E27">
        <w:t xml:space="preserve"> TIV for delivered weapons </w:t>
      </w:r>
    </w:p>
    <w:p w14:paraId="6AD9A7E0" w14:textId="43D9C781" w:rsidR="00253E27" w:rsidRPr="00253E27" w:rsidRDefault="00253E27" w:rsidP="00253E27">
      <w:pPr>
        <w:spacing w:before="100" w:beforeAutospacing="1" w:after="100" w:afterAutospacing="1"/>
        <w:rPr>
          <w:b/>
          <w:bCs/>
        </w:rPr>
      </w:pPr>
      <w:r w:rsidRPr="000B4AEA">
        <w:rPr>
          <w:b/>
          <w:bCs/>
        </w:rPr>
        <w:t>Data issues:</w:t>
      </w:r>
    </w:p>
    <w:p w14:paraId="2E785BDA" w14:textId="3D12A8AC" w:rsidR="00253E27" w:rsidRPr="00253E27" w:rsidRDefault="00253E27" w:rsidP="00E3115B">
      <w:pPr>
        <w:numPr>
          <w:ilvl w:val="0"/>
          <w:numId w:val="5"/>
        </w:numPr>
        <w:spacing w:before="100" w:beforeAutospacing="1" w:after="120"/>
      </w:pPr>
      <w:r w:rsidRPr="000B4AEA">
        <w:t>M</w:t>
      </w:r>
      <w:r w:rsidRPr="00253E27">
        <w:t>ulti-line header/explanatory block precedes the data rows</w:t>
      </w:r>
      <w:r w:rsidRPr="000B4AEA">
        <w:t xml:space="preserve"> </w:t>
      </w:r>
      <w:r w:rsidRPr="000B4AEA">
        <w:rPr>
          <w:color w:val="A02B93" w:themeColor="accent5"/>
        </w:rPr>
        <w:sym w:font="Wingdings" w:char="F0E0"/>
      </w:r>
      <w:r w:rsidRPr="000B4AEA">
        <w:rPr>
          <w:color w:val="A02B93" w:themeColor="accent5"/>
        </w:rPr>
        <w:t xml:space="preserve"> need to drop</w:t>
      </w:r>
    </w:p>
    <w:p w14:paraId="405FC59B" w14:textId="459A52FD" w:rsidR="00253E27" w:rsidRPr="00253E27" w:rsidRDefault="00253E27" w:rsidP="00E3115B">
      <w:pPr>
        <w:numPr>
          <w:ilvl w:val="0"/>
          <w:numId w:val="5"/>
        </w:numPr>
        <w:spacing w:before="100" w:beforeAutospacing="1" w:after="120"/>
      </w:pPr>
      <w:r w:rsidRPr="00253E27">
        <w:t>Country name</w:t>
      </w:r>
      <w:r w:rsidRPr="000B4AEA">
        <w:t xml:space="preserve"> variants </w:t>
      </w:r>
      <w:r w:rsidRPr="00253E27">
        <w:t>(e.g., “United States”, “United States of America”, “U.S.A.”, “PRC”, “People’s Republic of China”)</w:t>
      </w:r>
      <w:r w:rsidRPr="000B4AEA">
        <w:t xml:space="preserve"> </w:t>
      </w:r>
      <w:r w:rsidRPr="000B4AEA">
        <w:rPr>
          <w:color w:val="A02B93" w:themeColor="accent5"/>
        </w:rPr>
        <w:sym w:font="Wingdings" w:char="F0E0"/>
      </w:r>
      <w:r w:rsidRPr="000B4AEA">
        <w:rPr>
          <w:color w:val="A02B93" w:themeColor="accent5"/>
        </w:rPr>
        <w:t xml:space="preserve"> must normalize </w:t>
      </w:r>
      <w:r w:rsidR="00E3115B" w:rsidRPr="000B4AEA">
        <w:rPr>
          <w:color w:val="A02B93" w:themeColor="accent5"/>
        </w:rPr>
        <w:t xml:space="preserve">names </w:t>
      </w:r>
      <w:r w:rsidRPr="000B4AEA">
        <w:rPr>
          <w:color w:val="A02B93" w:themeColor="accent5"/>
        </w:rPr>
        <w:t>before filtering</w:t>
      </w:r>
    </w:p>
    <w:p w14:paraId="352C932A" w14:textId="43EDEF94" w:rsidR="00253E27" w:rsidRPr="000B4AEA" w:rsidRDefault="00253E27" w:rsidP="00E3115B">
      <w:pPr>
        <w:numPr>
          <w:ilvl w:val="0"/>
          <w:numId w:val="5"/>
        </w:numPr>
        <w:spacing w:before="100" w:beforeAutospacing="1" w:after="120"/>
      </w:pPr>
      <w:r w:rsidRPr="00253E27">
        <w:t>Weapon</w:t>
      </w:r>
      <w:r w:rsidRPr="000B4AEA">
        <w:t>s</w:t>
      </w:r>
      <w:r w:rsidRPr="00253E27">
        <w:t xml:space="preserve"> descriptions are inconsistent</w:t>
      </w:r>
      <w:r w:rsidRPr="000B4AEA">
        <w:t xml:space="preserve"> </w:t>
      </w:r>
      <w:r w:rsidRPr="000B4AEA">
        <w:rPr>
          <w:color w:val="A02B93" w:themeColor="accent5"/>
        </w:rPr>
        <w:sym w:font="Wingdings" w:char="F0E0"/>
      </w:r>
      <w:r w:rsidRPr="000B4AEA">
        <w:rPr>
          <w:color w:val="A02B93" w:themeColor="accent5"/>
        </w:rPr>
        <w:t xml:space="preserve"> need </w:t>
      </w:r>
      <w:r w:rsidRPr="00253E27">
        <w:rPr>
          <w:color w:val="A02B93" w:themeColor="accent5"/>
        </w:rPr>
        <w:t>mapping to convert raw descriptions into</w:t>
      </w:r>
      <w:r w:rsidR="00E3115B" w:rsidRPr="000B4AEA">
        <w:rPr>
          <w:color w:val="A02B93" w:themeColor="accent5"/>
        </w:rPr>
        <w:t xml:space="preserve"> broad </w:t>
      </w:r>
      <w:r w:rsidRPr="00253E27">
        <w:rPr>
          <w:color w:val="A02B93" w:themeColor="accent5"/>
        </w:rPr>
        <w:t xml:space="preserve">categories </w:t>
      </w:r>
      <w:r w:rsidRPr="00253E27">
        <w:t xml:space="preserve">like Aircraft, Ships, Missiles, </w:t>
      </w:r>
      <w:r w:rsidRPr="000B4AEA">
        <w:t>Armored</w:t>
      </w:r>
      <w:r w:rsidRPr="00253E27">
        <w:t xml:space="preserve"> vehicles, Sensors, Artillery, Parts, Other.</w:t>
      </w:r>
    </w:p>
    <w:p w14:paraId="799DD853" w14:textId="64CD5800" w:rsidR="00E3115B" w:rsidRPr="000B4AEA" w:rsidRDefault="00253E27" w:rsidP="00E3115B">
      <w:pPr>
        <w:numPr>
          <w:ilvl w:val="0"/>
          <w:numId w:val="5"/>
        </w:numPr>
        <w:spacing w:before="100" w:beforeAutospacing="1" w:after="120"/>
      </w:pPr>
      <w:r w:rsidRPr="000B4AEA">
        <w:t>SIPRI encoding:</w:t>
      </w:r>
      <w:r w:rsidR="00E3115B" w:rsidRPr="000B4AEA">
        <w:t xml:space="preserve"> </w:t>
      </w:r>
      <w:r w:rsidRPr="000B4AEA">
        <w:t xml:space="preserve">0 </w:t>
      </w:r>
      <w:r w:rsidRPr="00253E27">
        <w:t>vs</w:t>
      </w:r>
      <w:r w:rsidR="00E3115B" w:rsidRPr="000B4AEA">
        <w:t>.</w:t>
      </w:r>
      <w:r w:rsidRPr="00253E27">
        <w:t xml:space="preserve"> empty</w:t>
      </w:r>
      <w:r w:rsidR="00E3115B" w:rsidRPr="000B4AEA">
        <w:t>.</w:t>
      </w:r>
      <w:r w:rsidRPr="000B4AEA">
        <w:t xml:space="preserve"> </w:t>
      </w:r>
      <w:proofErr w:type="gramStart"/>
      <w:r w:rsidRPr="000B4AEA">
        <w:t>vs ?</w:t>
      </w:r>
      <w:proofErr w:type="gramEnd"/>
      <w:r w:rsidRPr="00253E27">
        <w:t xml:space="preserve">: </w:t>
      </w:r>
    </w:p>
    <w:p w14:paraId="7453A6C5" w14:textId="77777777" w:rsidR="00E3115B" w:rsidRPr="000B4AEA" w:rsidRDefault="00253E27" w:rsidP="00E3115B">
      <w:pPr>
        <w:numPr>
          <w:ilvl w:val="1"/>
          <w:numId w:val="5"/>
        </w:numPr>
        <w:spacing w:before="100" w:beforeAutospacing="1" w:after="120"/>
      </w:pPr>
      <w:r w:rsidRPr="00253E27">
        <w:t xml:space="preserve">uses 0 for </w:t>
      </w:r>
      <w:r w:rsidRPr="00253E27">
        <w:rPr>
          <w:i/>
          <w:iCs/>
        </w:rPr>
        <w:t>identified deliveries that had zero TIV</w:t>
      </w:r>
    </w:p>
    <w:p w14:paraId="2D1B0CD9" w14:textId="3F960763" w:rsidR="00E3115B" w:rsidRPr="000B4AEA" w:rsidRDefault="00253E27" w:rsidP="00E3115B">
      <w:pPr>
        <w:numPr>
          <w:ilvl w:val="1"/>
          <w:numId w:val="5"/>
        </w:numPr>
        <w:spacing w:before="100" w:beforeAutospacing="1" w:after="120"/>
      </w:pPr>
      <w:r w:rsidRPr="00253E27">
        <w:lastRenderedPageBreak/>
        <w:t xml:space="preserve">empty fields to indicate </w:t>
      </w:r>
      <w:r w:rsidRPr="00253E27">
        <w:rPr>
          <w:i/>
          <w:iCs/>
        </w:rPr>
        <w:t>no deliveries identified / data not available</w:t>
      </w:r>
    </w:p>
    <w:p w14:paraId="0D5AA266" w14:textId="77777777" w:rsidR="00E3115B" w:rsidRPr="000B4AEA" w:rsidRDefault="00253E27" w:rsidP="00E3115B">
      <w:pPr>
        <w:numPr>
          <w:ilvl w:val="1"/>
          <w:numId w:val="5"/>
        </w:numPr>
        <w:spacing w:before="100" w:beforeAutospacing="1" w:after="120"/>
      </w:pPr>
      <w:r w:rsidRPr="00253E27">
        <w:t xml:space="preserve">uncertain numbers </w:t>
      </w:r>
      <w:proofErr w:type="gramStart"/>
      <w:r w:rsidRPr="00253E27">
        <w:t>with ?</w:t>
      </w:r>
      <w:proofErr w:type="gramEnd"/>
      <w:r w:rsidRPr="000B4AEA">
        <w:t xml:space="preserve"> </w:t>
      </w:r>
    </w:p>
    <w:p w14:paraId="47DE55FA" w14:textId="2E6C452F" w:rsidR="00253E27" w:rsidRPr="00253E27" w:rsidRDefault="00253E27" w:rsidP="00E3115B">
      <w:pPr>
        <w:spacing w:before="100" w:beforeAutospacing="1" w:after="120"/>
        <w:ind w:left="1440"/>
        <w:rPr>
          <w:color w:val="A02B93" w:themeColor="accent5"/>
        </w:rPr>
      </w:pPr>
      <w:r w:rsidRPr="000B4AEA">
        <w:rPr>
          <w:color w:val="A02B93" w:themeColor="accent5"/>
        </w:rPr>
        <w:sym w:font="Wingdings" w:char="F0E0"/>
      </w:r>
      <w:r w:rsidRPr="000B4AEA">
        <w:rPr>
          <w:color w:val="A02B93" w:themeColor="accent5"/>
        </w:rPr>
        <w:t xml:space="preserve"> </w:t>
      </w:r>
      <w:r w:rsidRPr="00253E27">
        <w:rPr>
          <w:color w:val="A02B93" w:themeColor="accent5"/>
        </w:rPr>
        <w:t>process</w:t>
      </w:r>
      <w:r w:rsidRPr="000B4AEA">
        <w:rPr>
          <w:color w:val="A02B93" w:themeColor="accent5"/>
        </w:rPr>
        <w:t xml:space="preserve"> </w:t>
      </w:r>
      <w:r w:rsidRPr="00253E27">
        <w:rPr>
          <w:color w:val="A02B93" w:themeColor="accent5"/>
        </w:rPr>
        <w:t xml:space="preserve">0 </w:t>
      </w:r>
      <w:r w:rsidRPr="000B4AEA">
        <w:rPr>
          <w:color w:val="A02B93" w:themeColor="accent5"/>
        </w:rPr>
        <w:t>as</w:t>
      </w:r>
      <w:r w:rsidRPr="00253E27">
        <w:rPr>
          <w:color w:val="A02B93" w:themeColor="accent5"/>
        </w:rPr>
        <w:t xml:space="preserve"> an observed zero, </w:t>
      </w:r>
      <w:r w:rsidRPr="000B4AEA">
        <w:rPr>
          <w:color w:val="A02B93" w:themeColor="accent5"/>
        </w:rPr>
        <w:t xml:space="preserve">exclude the </w:t>
      </w:r>
      <w:r w:rsidR="00E3115B" w:rsidRPr="000B4AEA">
        <w:rPr>
          <w:color w:val="A02B93" w:themeColor="accent5"/>
        </w:rPr>
        <w:t>empties</w:t>
      </w:r>
      <w:r w:rsidRPr="00253E27">
        <w:rPr>
          <w:color w:val="A02B93" w:themeColor="accent5"/>
        </w:rPr>
        <w:t xml:space="preserve"> </w:t>
      </w:r>
      <w:proofErr w:type="gramStart"/>
      <w:r w:rsidRPr="000B4AEA">
        <w:rPr>
          <w:color w:val="A02B93" w:themeColor="accent5"/>
        </w:rPr>
        <w:t>and ?s</w:t>
      </w:r>
      <w:proofErr w:type="gramEnd"/>
    </w:p>
    <w:p w14:paraId="379541D8" w14:textId="79A642AB" w:rsidR="00253E27" w:rsidRPr="00253E27" w:rsidRDefault="00253E27" w:rsidP="00253E27">
      <w:pPr>
        <w:spacing w:before="100" w:beforeAutospacing="1" w:after="100" w:afterAutospacing="1"/>
      </w:pPr>
      <w:r w:rsidRPr="000B4AEA">
        <w:rPr>
          <w:b/>
          <w:bCs/>
        </w:rPr>
        <w:t>Variable</w:t>
      </w:r>
      <w:r w:rsidR="00E3115B" w:rsidRPr="000B4AEA">
        <w:rPr>
          <w:b/>
          <w:bCs/>
        </w:rPr>
        <w:t>s</w:t>
      </w:r>
      <w:r w:rsidRPr="000B4AEA">
        <w:rPr>
          <w:b/>
          <w:bCs/>
        </w:rPr>
        <w:t xml:space="preserve"> we</w:t>
      </w:r>
      <w:r w:rsidRPr="00253E27">
        <w:rPr>
          <w:b/>
          <w:bCs/>
        </w:rPr>
        <w:t xml:space="preserve"> should create</w:t>
      </w:r>
      <w:r w:rsidRPr="000B4AEA">
        <w:rPr>
          <w:b/>
          <w:bCs/>
        </w:rPr>
        <w:t>:</w:t>
      </w:r>
    </w:p>
    <w:p w14:paraId="740BD621" w14:textId="2871C55E" w:rsidR="00253E27" w:rsidRPr="00253E27" w:rsidRDefault="00253E27" w:rsidP="00E3115B">
      <w:pPr>
        <w:numPr>
          <w:ilvl w:val="0"/>
          <w:numId w:val="7"/>
        </w:numPr>
        <w:spacing w:before="100" w:beforeAutospacing="1" w:after="120"/>
      </w:pPr>
      <w:r w:rsidRPr="00253E27">
        <w:rPr>
          <w:color w:val="004E9A"/>
        </w:rPr>
        <w:t>Annual aggregate TIV per supplie</w:t>
      </w:r>
      <w:r w:rsidR="00E3115B" w:rsidRPr="000B4AEA">
        <w:rPr>
          <w:color w:val="004E9A"/>
        </w:rPr>
        <w:t>r-</w:t>
      </w:r>
      <w:r w:rsidRPr="00253E27">
        <w:rPr>
          <w:color w:val="004E9A"/>
        </w:rPr>
        <w:t>recipient</w:t>
      </w:r>
      <w:r w:rsidRPr="00253E27">
        <w:t xml:space="preserve"> (sums of delivered-TIV within a calendar year)</w:t>
      </w:r>
      <w:r w:rsidR="00E3115B" w:rsidRPr="000B4AEA">
        <w:t xml:space="preserve"> </w:t>
      </w:r>
      <w:r w:rsidR="00E3115B" w:rsidRPr="000B4AEA">
        <w:sym w:font="Wingdings" w:char="F0E0"/>
      </w:r>
      <w:r w:rsidR="00E3115B" w:rsidRPr="000B4AEA">
        <w:t xml:space="preserve"> </w:t>
      </w:r>
      <w:r w:rsidRPr="00253E27">
        <w:t xml:space="preserve">primary “volume” measure </w:t>
      </w:r>
      <w:r w:rsidR="00E3115B" w:rsidRPr="000B4AEA">
        <w:t>to</w:t>
      </w:r>
      <w:r w:rsidRPr="00253E27">
        <w:t xml:space="preserve"> forecast</w:t>
      </w:r>
    </w:p>
    <w:p w14:paraId="0522A7F4" w14:textId="46FEF2A8" w:rsidR="00253E27" w:rsidRPr="00253E27" w:rsidRDefault="00253E27" w:rsidP="00E3115B">
      <w:pPr>
        <w:numPr>
          <w:ilvl w:val="0"/>
          <w:numId w:val="7"/>
        </w:numPr>
        <w:spacing w:before="100" w:beforeAutospacing="1" w:after="120"/>
      </w:pPr>
      <w:r w:rsidRPr="00253E27">
        <w:rPr>
          <w:color w:val="004E9A"/>
        </w:rPr>
        <w:t xml:space="preserve">Annual TIV by </w:t>
      </w:r>
      <w:r w:rsidR="00E3115B" w:rsidRPr="000B4AEA">
        <w:rPr>
          <w:color w:val="004E9A"/>
        </w:rPr>
        <w:t>arms</w:t>
      </w:r>
      <w:r w:rsidRPr="00253E27">
        <w:rPr>
          <w:color w:val="004E9A"/>
        </w:rPr>
        <w:t xml:space="preserve"> category </w:t>
      </w:r>
      <w:r w:rsidR="00E3115B" w:rsidRPr="000B4AEA">
        <w:sym w:font="Wingdings" w:char="F0E0"/>
      </w:r>
      <w:r w:rsidR="00E3115B" w:rsidRPr="000B4AEA">
        <w:t xml:space="preserve"> </w:t>
      </w:r>
      <w:r w:rsidRPr="00253E27">
        <w:t>forecast type/mix</w:t>
      </w:r>
    </w:p>
    <w:p w14:paraId="11E4112F" w14:textId="43EF9CA8" w:rsidR="00253E27" w:rsidRPr="00253E27" w:rsidRDefault="00253E27" w:rsidP="00E3115B">
      <w:pPr>
        <w:numPr>
          <w:ilvl w:val="0"/>
          <w:numId w:val="7"/>
        </w:numPr>
        <w:spacing w:before="100" w:beforeAutospacing="1" w:after="120"/>
      </w:pPr>
      <w:r w:rsidRPr="00253E27">
        <w:rPr>
          <w:color w:val="004E9A"/>
        </w:rPr>
        <w:t>Binary indicators for “any delivery that year</w:t>
      </w:r>
      <w:r w:rsidRPr="00253E27">
        <w:t xml:space="preserve">” </w:t>
      </w:r>
      <w:r w:rsidR="00E3115B" w:rsidRPr="000B4AEA">
        <w:sym w:font="Wingdings" w:char="F0E0"/>
      </w:r>
      <w:r w:rsidR="00E3115B" w:rsidRPr="000B4AEA">
        <w:t xml:space="preserve"> </w:t>
      </w:r>
      <w:r w:rsidRPr="00253E27">
        <w:t>capture intermittency</w:t>
      </w:r>
    </w:p>
    <w:p w14:paraId="63F27574" w14:textId="33FC76AD" w:rsidR="00253E27" w:rsidRPr="000B4AEA" w:rsidRDefault="00253E27"/>
    <w:p w14:paraId="2832C451" w14:textId="407F9880" w:rsidR="00E3115B" w:rsidRPr="000B4AEA" w:rsidRDefault="00E3115B" w:rsidP="00E3115B">
      <w:pPr>
        <w:pStyle w:val="Heading1"/>
        <w:rPr>
          <w:rFonts w:ascii="Times New Roman" w:hAnsi="Times New Roman" w:cs="Times New Roman"/>
          <w:b/>
          <w:bCs/>
          <w:color w:val="000000" w:themeColor="text1"/>
          <w:sz w:val="28"/>
          <w:szCs w:val="28"/>
        </w:rPr>
      </w:pPr>
      <w:r w:rsidRPr="000B4AEA">
        <w:rPr>
          <w:rFonts w:ascii="Times New Roman" w:hAnsi="Times New Roman" w:cs="Times New Roman"/>
          <w:b/>
          <w:bCs/>
          <w:color w:val="000000" w:themeColor="text1"/>
          <w:sz w:val="28"/>
          <w:szCs w:val="28"/>
        </w:rPr>
        <w:t xml:space="preserve">2) What phenomenon are you modeling? </w:t>
      </w:r>
    </w:p>
    <w:p w14:paraId="64FC6C7C" w14:textId="72F56EA8" w:rsidR="0035761E" w:rsidRPr="00523CA0" w:rsidRDefault="0035761E" w:rsidP="00523CA0">
      <w:pPr>
        <w:shd w:val="clear" w:color="auto" w:fill="FFFFFF"/>
        <w:ind w:left="720"/>
        <w:rPr>
          <w:rFonts w:ascii="Segoe UI" w:hAnsi="Segoe UI" w:cs="Segoe UI"/>
          <w:i/>
          <w:iCs/>
          <w:sz w:val="21"/>
          <w:szCs w:val="21"/>
        </w:rPr>
      </w:pPr>
      <w:r w:rsidRPr="0035761E">
        <w:rPr>
          <w:rFonts w:ascii="Segoe UI" w:hAnsi="Segoe UI" w:cs="Segoe UI"/>
          <w:i/>
          <w:iCs/>
          <w:sz w:val="21"/>
          <w:szCs w:val="21"/>
        </w:rPr>
        <w:t>What phenomenon are you modeling? Provide a brief background on the topic, including definitions and details that are relevant to your analysis. Clearly describe its main features, and support those claims with data where appropriate. (10/100 pts)</w:t>
      </w:r>
    </w:p>
    <w:p w14:paraId="3EA22BDF" w14:textId="5A96C47A" w:rsidR="00E3115B" w:rsidRPr="000B4AEA" w:rsidRDefault="00E3115B" w:rsidP="00E3115B">
      <w:pPr>
        <w:pStyle w:val="p3"/>
      </w:pPr>
      <w:r w:rsidRPr="00523CA0">
        <w:rPr>
          <w:b/>
          <w:bCs/>
          <w:highlight w:val="yellow"/>
        </w:rPr>
        <w:t>Research question</w:t>
      </w:r>
    </w:p>
    <w:p w14:paraId="537AA723" w14:textId="740AF506" w:rsidR="00E3115B" w:rsidRPr="000B4AEA" w:rsidRDefault="00E3115B" w:rsidP="00E3115B">
      <w:pPr>
        <w:pStyle w:val="p1"/>
        <w:ind w:left="720"/>
      </w:pPr>
      <w:r w:rsidRPr="000B4AEA">
        <w:rPr>
          <w:i/>
          <w:iCs/>
          <w:highlight w:val="yellow"/>
        </w:rPr>
        <w:t>How are the United States and the People’s Republic of China using arms transfers to influence states that control global maritime chokepoints (Panama, Egypt, Indonesia)?</w:t>
      </w:r>
      <w:r w:rsidRPr="000B4AEA">
        <w:rPr>
          <w:highlight w:val="yellow"/>
        </w:rPr>
        <w:t xml:space="preserve"> Concretely: forecast</w:t>
      </w:r>
      <w:r w:rsidRPr="000B4AEA">
        <w:rPr>
          <w:highlight w:val="yellow"/>
        </w:rPr>
        <w:t xml:space="preserve"> arms transfers </w:t>
      </w:r>
      <w:r w:rsidRPr="000B4AEA">
        <w:rPr>
          <w:highlight w:val="yellow"/>
        </w:rPr>
        <w:t>for each supplier</w:t>
      </w:r>
      <w:r w:rsidRPr="000B4AEA">
        <w:rPr>
          <w:highlight w:val="yellow"/>
        </w:rPr>
        <w:t>-</w:t>
      </w:r>
      <w:r w:rsidRPr="000B4AEA">
        <w:rPr>
          <w:highlight w:val="yellow"/>
        </w:rPr>
        <w:t xml:space="preserve">recipient pair and for each year through </w:t>
      </w:r>
      <w:r w:rsidRPr="000B4AEA">
        <w:rPr>
          <w:color w:val="EE0000"/>
          <w:highlight w:val="yellow"/>
        </w:rPr>
        <w:t>2028</w:t>
      </w:r>
      <w:r w:rsidRPr="000B4AEA">
        <w:rPr>
          <w:highlight w:val="yellow"/>
        </w:rPr>
        <w:t xml:space="preserve"> – </w:t>
      </w:r>
      <w:r w:rsidRPr="000B4AEA">
        <w:rPr>
          <w:i/>
          <w:iCs/>
          <w:highlight w:val="yellow"/>
        </w:rPr>
        <w:t>volume</w:t>
      </w:r>
      <w:r w:rsidRPr="000B4AEA">
        <w:rPr>
          <w:highlight w:val="yellow"/>
        </w:rPr>
        <w:t xml:space="preserve"> (annual TIV)</w:t>
      </w:r>
      <w:r w:rsidRPr="000B4AEA">
        <w:rPr>
          <w:highlight w:val="yellow"/>
        </w:rPr>
        <w:t xml:space="preserve"> and </w:t>
      </w:r>
      <w:r w:rsidRPr="000B4AEA">
        <w:rPr>
          <w:i/>
          <w:iCs/>
          <w:highlight w:val="yellow"/>
        </w:rPr>
        <w:t>type mix</w:t>
      </w:r>
      <w:r w:rsidRPr="000B4AEA">
        <w:rPr>
          <w:highlight w:val="yellow"/>
        </w:rPr>
        <w:t xml:space="preserve"> (weapon-category shares)</w:t>
      </w:r>
    </w:p>
    <w:p w14:paraId="236AC368" w14:textId="6554AC89" w:rsidR="00E3115B" w:rsidRPr="000B4AEA" w:rsidRDefault="00E3115B" w:rsidP="00E3115B">
      <w:pPr>
        <w:pStyle w:val="p3"/>
      </w:pPr>
      <w:r w:rsidRPr="000B4AEA">
        <w:rPr>
          <w:b/>
          <w:bCs/>
        </w:rPr>
        <w:t>C</w:t>
      </w:r>
      <w:r w:rsidRPr="000B4AEA">
        <w:rPr>
          <w:b/>
          <w:bCs/>
        </w:rPr>
        <w:t>ontext</w:t>
      </w:r>
    </w:p>
    <w:p w14:paraId="51D73084" w14:textId="38D8A984" w:rsidR="00E3115B" w:rsidRPr="000B4AEA" w:rsidRDefault="00E3115B" w:rsidP="00E3115B">
      <w:pPr>
        <w:pStyle w:val="p1"/>
        <w:numPr>
          <w:ilvl w:val="0"/>
          <w:numId w:val="11"/>
        </w:numPr>
        <w:spacing w:after="120" w:afterAutospacing="0"/>
      </w:pPr>
      <w:r w:rsidRPr="000B4AEA">
        <w:rPr>
          <w:b/>
          <w:bCs/>
        </w:rPr>
        <w:t xml:space="preserve">Strategic chokepoints (Panama Canal, Suez Canal through Egypt, Strait of Malacca) concentrate global maritime traffic and therefore </w:t>
      </w:r>
      <w:r w:rsidRPr="000B4AEA">
        <w:rPr>
          <w:b/>
          <w:bCs/>
        </w:rPr>
        <w:t xml:space="preserve">represent outsized </w:t>
      </w:r>
      <w:r w:rsidRPr="000B4AEA">
        <w:rPr>
          <w:b/>
          <w:bCs/>
        </w:rPr>
        <w:t>economic and strategic value.</w:t>
      </w:r>
      <w:r w:rsidRPr="000B4AEA">
        <w:t xml:space="preserve"> States with influence there can affect </w:t>
      </w:r>
      <w:r w:rsidRPr="000B4AEA">
        <w:t>critical</w:t>
      </w:r>
      <w:r w:rsidRPr="000B4AEA">
        <w:t xml:space="preserve"> geopolitical levers</w:t>
      </w:r>
      <w:r w:rsidRPr="000B4AEA">
        <w:t xml:space="preserve"> like </w:t>
      </w:r>
      <w:r w:rsidRPr="000B4AEA">
        <w:t>shipping security, maritime access, and logistical lines</w:t>
      </w:r>
      <w:r w:rsidRPr="000B4AEA">
        <w:t>. Interstate</w:t>
      </w:r>
      <w:r w:rsidRPr="000B4AEA">
        <w:t xml:space="preserve"> competition </w:t>
      </w:r>
      <w:r w:rsidRPr="000B4AEA">
        <w:t>includes</w:t>
      </w:r>
      <w:r w:rsidR="000B4AEA">
        <w:t xml:space="preserve"> nations using</w:t>
      </w:r>
      <w:r w:rsidRPr="000B4AEA">
        <w:t xml:space="preserve"> </w:t>
      </w:r>
      <w:r w:rsidRPr="000B4AEA">
        <w:t>arms transfers (sales, leases, assistance) as part of a broader influence strategy</w:t>
      </w:r>
      <w:r w:rsidRPr="000B4AEA">
        <w:t xml:space="preserve"> to obtain relative political advantage (</w:t>
      </w:r>
      <w:r w:rsidRPr="000B4AEA">
        <w:t xml:space="preserve">basing rights, </w:t>
      </w:r>
      <w:r w:rsidRPr="000B4AEA">
        <w:t>port access</w:t>
      </w:r>
      <w:r w:rsidRPr="000B4AEA">
        <w:t xml:space="preserve">, </w:t>
      </w:r>
      <w:r w:rsidRPr="000B4AEA">
        <w:t>UN voting</w:t>
      </w:r>
      <w:r w:rsidRPr="000B4AEA">
        <w:t xml:space="preserve"> alignment</w:t>
      </w:r>
      <w:r w:rsidRPr="000B4AEA">
        <w:t>, etc.)</w:t>
      </w:r>
    </w:p>
    <w:p w14:paraId="6A8A5083" w14:textId="69649593" w:rsidR="000B4AEA" w:rsidRPr="000B4AEA" w:rsidRDefault="00E3115B" w:rsidP="00E3115B">
      <w:pPr>
        <w:pStyle w:val="p1"/>
        <w:numPr>
          <w:ilvl w:val="0"/>
          <w:numId w:val="11"/>
        </w:numPr>
        <w:spacing w:after="120" w:afterAutospacing="0"/>
      </w:pPr>
      <w:r w:rsidRPr="000B4AEA">
        <w:t>SIPRI data captures deliveries of major conventional weapons</w:t>
      </w:r>
      <w:r w:rsidR="000B4AEA">
        <w:t xml:space="preserve">, </w:t>
      </w:r>
      <w:r w:rsidRPr="000B4AEA">
        <w:t xml:space="preserve">the observable mechanism through </w:t>
      </w:r>
      <w:r w:rsidRPr="000B4AEA">
        <w:t>which arms</w:t>
      </w:r>
      <w:r w:rsidRPr="000B4AEA">
        <w:t xml:space="preserve"> supplie</w:t>
      </w:r>
      <w:r w:rsidRPr="000B4AEA">
        <w:t xml:space="preserve">rs exercise </w:t>
      </w:r>
      <w:r w:rsidRPr="000B4AEA">
        <w:t>influence. That makes SIPRI an appropriate data source to operationalize the research question.</w:t>
      </w:r>
      <w:r w:rsidRPr="000B4AEA">
        <w:rPr>
          <w:rStyle w:val="apple-converted-space"/>
          <w:rFonts w:eastAsiaTheme="majorEastAsia"/>
        </w:rPr>
        <w:t xml:space="preserve">  </w:t>
      </w:r>
    </w:p>
    <w:p w14:paraId="573FA594" w14:textId="0FA77B4C" w:rsidR="000B4AEA" w:rsidRPr="000B4AEA" w:rsidRDefault="000B4AEA" w:rsidP="000B4AEA">
      <w:pPr>
        <w:pStyle w:val="p3"/>
      </w:pPr>
      <w:r w:rsidRPr="000B4AEA">
        <w:rPr>
          <w:b/>
          <w:bCs/>
        </w:rPr>
        <w:t xml:space="preserve">Key assumption: </w:t>
      </w:r>
      <w:r w:rsidRPr="000B4AEA">
        <w:t xml:space="preserve">Historical delivery patterns (1950–latest year) are informative about near-term (4-year) futures. </w:t>
      </w:r>
      <w:r w:rsidRPr="000B4AEA">
        <w:rPr>
          <w:color w:val="0E0E0E"/>
        </w:rPr>
        <w:t xml:space="preserve">We can use past arms-transfer data to forecast the next few years </w:t>
      </w:r>
      <w:r w:rsidRPr="000B4AEA">
        <w:rPr>
          <w:color w:val="0E0E0E"/>
        </w:rPr>
        <w:t>if</w:t>
      </w:r>
      <w:r w:rsidRPr="000B4AEA">
        <w:rPr>
          <w:color w:val="0E0E0E"/>
        </w:rPr>
        <w:t xml:space="preserve"> no </w:t>
      </w:r>
      <w:r>
        <w:rPr>
          <w:color w:val="0E0E0E"/>
        </w:rPr>
        <w:t xml:space="preserve">exogenous </w:t>
      </w:r>
      <w:r w:rsidRPr="000B4AEA">
        <w:t>geopolitical shocks occur (</w:t>
      </w:r>
      <w:r w:rsidRPr="000B4AEA">
        <w:rPr>
          <w:color w:val="0E0E0E"/>
        </w:rPr>
        <w:t>war, sanctions, regime change, major diplomatic realignment</w:t>
      </w:r>
      <w:r>
        <w:rPr>
          <w:color w:val="0E0E0E"/>
        </w:rPr>
        <w:t>s</w:t>
      </w:r>
      <w:r w:rsidRPr="000B4AEA">
        <w:rPr>
          <w:color w:val="0E0E0E"/>
        </w:rPr>
        <w:t>) that would drastically change who buys or sells weapons.</w:t>
      </w:r>
    </w:p>
    <w:p w14:paraId="7AAA68E3" w14:textId="5CBA1A28" w:rsidR="00E3115B" w:rsidRPr="000B4AEA" w:rsidRDefault="00E3115B" w:rsidP="00E3115B">
      <w:pPr>
        <w:pStyle w:val="p3"/>
      </w:pPr>
      <w:r w:rsidRPr="000B4AEA">
        <w:rPr>
          <w:b/>
          <w:bCs/>
        </w:rPr>
        <w:lastRenderedPageBreak/>
        <w:t>Model features and goals</w:t>
      </w:r>
    </w:p>
    <w:p w14:paraId="7686C1A6" w14:textId="576DD101" w:rsidR="00E3115B" w:rsidRPr="000B4AEA" w:rsidRDefault="00E3115B" w:rsidP="00E3115B">
      <w:pPr>
        <w:pStyle w:val="p1"/>
        <w:numPr>
          <w:ilvl w:val="0"/>
          <w:numId w:val="12"/>
        </w:numPr>
        <w:spacing w:after="120" w:afterAutospacing="0"/>
      </w:pPr>
      <w:r w:rsidRPr="000B4AEA">
        <w:t>Observable variables</w:t>
      </w:r>
    </w:p>
    <w:p w14:paraId="2AC000CE" w14:textId="49E84CAD" w:rsidR="00E3115B" w:rsidRPr="000B4AEA" w:rsidRDefault="00E3115B" w:rsidP="00E3115B">
      <w:pPr>
        <w:pStyle w:val="p1"/>
        <w:numPr>
          <w:ilvl w:val="1"/>
          <w:numId w:val="12"/>
        </w:numPr>
        <w:spacing w:after="120" w:afterAutospacing="0"/>
      </w:pPr>
      <w:r w:rsidRPr="000B4AEA">
        <w:rPr>
          <w:rStyle w:val="s1"/>
          <w:rFonts w:eastAsiaTheme="majorEastAsia"/>
          <w:color w:val="004E9A"/>
        </w:rPr>
        <w:t>Annual volume</w:t>
      </w:r>
      <w:r w:rsidRPr="000B4AEA">
        <w:t xml:space="preserve">: </w:t>
      </w:r>
      <w:r w:rsidRPr="000B4AEA">
        <w:t>total TIV delivered in a calendar year from supplier (USA or China) to recipient (Panama/Egypt/Indonesia)</w:t>
      </w:r>
      <w:r w:rsidRPr="000B4AEA">
        <w:t xml:space="preserve"> </w:t>
      </w:r>
      <w:r w:rsidRPr="000B4AEA">
        <w:sym w:font="Wingdings" w:char="F0E0"/>
      </w:r>
      <w:r w:rsidRPr="000B4AEA">
        <w:t xml:space="preserve"> </w:t>
      </w:r>
      <w:r w:rsidRPr="000B4AEA">
        <w:t>main dependent series to forecast</w:t>
      </w:r>
    </w:p>
    <w:p w14:paraId="22EBB049" w14:textId="7498EDEB" w:rsidR="00E3115B" w:rsidRPr="000B4AEA" w:rsidRDefault="00E3115B" w:rsidP="00E3115B">
      <w:pPr>
        <w:pStyle w:val="p1"/>
        <w:numPr>
          <w:ilvl w:val="1"/>
          <w:numId w:val="12"/>
        </w:numPr>
        <w:spacing w:after="120" w:afterAutospacing="0"/>
      </w:pPr>
      <w:r w:rsidRPr="000B4AEA">
        <w:rPr>
          <w:rStyle w:val="s1"/>
          <w:rFonts w:eastAsiaTheme="majorEastAsia"/>
          <w:color w:val="004E9A"/>
        </w:rPr>
        <w:t>Weapon-type mix</w:t>
      </w:r>
      <w:r w:rsidRPr="000B4AEA">
        <w:rPr>
          <w:color w:val="004E9A"/>
        </w:rPr>
        <w:t xml:space="preserve">: </w:t>
      </w:r>
      <w:r w:rsidRPr="000B4AEA">
        <w:t>annual TIV broken down into categories (Aircraft, Ships, Missiles, Armored vehicles, Sensors, Artillery, Parts/Other)</w:t>
      </w:r>
      <w:r w:rsidRPr="000B4AEA">
        <w:t xml:space="preserve"> </w:t>
      </w:r>
      <w:r w:rsidRPr="000B4AEA">
        <w:sym w:font="Wingdings" w:char="F0E0"/>
      </w:r>
      <w:r w:rsidRPr="000B4AEA">
        <w:t xml:space="preserve"> </w:t>
      </w:r>
      <w:r w:rsidRPr="000B4AEA">
        <w:t>allow</w:t>
      </w:r>
      <w:r w:rsidR="000B4AEA">
        <w:t>s</w:t>
      </w:r>
      <w:r w:rsidRPr="000B4AEA">
        <w:t xml:space="preserve"> analysis of capability emphasis (naval vs air vs ground)</w:t>
      </w:r>
    </w:p>
    <w:p w14:paraId="0E42E846" w14:textId="004FFE72" w:rsidR="00E3115B" w:rsidRPr="000B4AEA" w:rsidRDefault="00E3115B" w:rsidP="00E3115B">
      <w:pPr>
        <w:pStyle w:val="p1"/>
        <w:numPr>
          <w:ilvl w:val="1"/>
          <w:numId w:val="12"/>
        </w:numPr>
        <w:spacing w:after="120" w:afterAutospacing="0"/>
      </w:pPr>
      <w:r w:rsidRPr="000B4AEA">
        <w:rPr>
          <w:rStyle w:val="s1"/>
          <w:rFonts w:eastAsiaTheme="majorEastAsia"/>
          <w:color w:val="004E9A"/>
        </w:rPr>
        <w:t>Intermittency indicator</w:t>
      </w:r>
      <w:r w:rsidRPr="000B4AEA">
        <w:rPr>
          <w:color w:val="004E9A"/>
        </w:rPr>
        <w:t xml:space="preserve">: </w:t>
      </w:r>
      <w:r w:rsidRPr="000B4AEA">
        <w:t xml:space="preserve">binary/year indicating whether </w:t>
      </w:r>
      <w:r w:rsidRPr="000B4AEA">
        <w:rPr>
          <w:i/>
          <w:iCs/>
        </w:rPr>
        <w:t>any</w:t>
      </w:r>
      <w:r w:rsidRPr="000B4AEA">
        <w:t xml:space="preserve"> major transfer occurred </w:t>
      </w:r>
      <w:r w:rsidRPr="000B4AEA">
        <w:sym w:font="Wingdings" w:char="F0E0"/>
      </w:r>
      <w:r w:rsidRPr="000B4AEA">
        <w:t xml:space="preserve"> </w:t>
      </w:r>
      <w:r w:rsidRPr="000B4AEA">
        <w:t>helps modeling sparsity</w:t>
      </w:r>
    </w:p>
    <w:p w14:paraId="130DB3A6" w14:textId="2D8F7889" w:rsidR="00E3115B" w:rsidRPr="000B4AEA" w:rsidRDefault="00E3115B" w:rsidP="00E3115B">
      <w:pPr>
        <w:pStyle w:val="p1"/>
        <w:numPr>
          <w:ilvl w:val="0"/>
          <w:numId w:val="13"/>
        </w:numPr>
        <w:spacing w:after="120" w:afterAutospacing="0"/>
      </w:pPr>
      <w:r w:rsidRPr="000B4AEA">
        <w:rPr>
          <w:u w:val="single"/>
        </w:rPr>
        <w:t>For each supplier</w:t>
      </w:r>
      <w:r w:rsidRPr="000B4AEA">
        <w:rPr>
          <w:u w:val="single"/>
        </w:rPr>
        <w:t>-</w:t>
      </w:r>
      <w:r w:rsidRPr="000B4AEA">
        <w:rPr>
          <w:u w:val="single"/>
        </w:rPr>
        <w:t>recipient</w:t>
      </w:r>
      <w:r w:rsidRPr="000B4AEA">
        <w:t>: produce yearly forecasts (</w:t>
      </w:r>
      <w:r w:rsidRPr="000B4AEA">
        <w:rPr>
          <w:color w:val="EE0000"/>
        </w:rPr>
        <w:t>2025–2028</w:t>
      </w:r>
      <w:r w:rsidRPr="000B4AEA">
        <w:t>) of total TIV with uncertainty intervals, and projected weapon-category shares.</w:t>
      </w:r>
    </w:p>
    <w:p w14:paraId="0FB18FD8" w14:textId="77777777" w:rsidR="00E3115B" w:rsidRPr="000B4AEA" w:rsidRDefault="00E3115B" w:rsidP="00E3115B">
      <w:pPr>
        <w:pStyle w:val="p1"/>
        <w:numPr>
          <w:ilvl w:val="1"/>
          <w:numId w:val="13"/>
        </w:numPr>
        <w:spacing w:after="120" w:afterAutospacing="0"/>
      </w:pPr>
      <w:r w:rsidRPr="000B4AEA">
        <w:t>Is PRC or USA increasing volume to a chokepoint state over recent years, and does that trend likely continue to 2028?</w:t>
      </w:r>
    </w:p>
    <w:p w14:paraId="29E80F36" w14:textId="77777777" w:rsidR="00E3115B" w:rsidRPr="000B4AEA" w:rsidRDefault="00E3115B" w:rsidP="00E3115B">
      <w:pPr>
        <w:pStyle w:val="p1"/>
        <w:numPr>
          <w:ilvl w:val="1"/>
          <w:numId w:val="13"/>
        </w:numPr>
        <w:spacing w:after="120" w:afterAutospacing="0"/>
      </w:pPr>
      <w:r w:rsidRPr="000B4AEA">
        <w:t>Does either supplier emphasize naval-capability transfers (ships) to chokepoint states, consistent with efforts to influence maritime access or security?</w:t>
      </w:r>
    </w:p>
    <w:p w14:paraId="76E3C3E6" w14:textId="27842920" w:rsidR="00E3115B" w:rsidRPr="000B4AEA" w:rsidRDefault="00E3115B" w:rsidP="00E3115B">
      <w:pPr>
        <w:pStyle w:val="p1"/>
        <w:numPr>
          <w:ilvl w:val="1"/>
          <w:numId w:val="13"/>
        </w:numPr>
        <w:spacing w:after="120" w:afterAutospacing="0"/>
      </w:pPr>
      <w:r w:rsidRPr="000B4AEA">
        <w:t>How uncertain are those projections for each recipient (e.g., Panama likely higher uncertainty due to sparse historical observations)?</w:t>
      </w:r>
    </w:p>
    <w:p w14:paraId="0410F7E6" w14:textId="3BC864CA" w:rsidR="00E3115B" w:rsidRPr="000B4AEA" w:rsidRDefault="00E3115B" w:rsidP="00E3115B">
      <w:pPr>
        <w:pStyle w:val="p3"/>
      </w:pPr>
    </w:p>
    <w:p w14:paraId="7D9B62ED" w14:textId="0ECEA873" w:rsidR="00E3115B" w:rsidRPr="00887A66" w:rsidRDefault="00E3115B" w:rsidP="00E3115B">
      <w:pPr>
        <w:pStyle w:val="p2"/>
        <w:rPr>
          <w:sz w:val="36"/>
          <w:szCs w:val="36"/>
        </w:rPr>
      </w:pPr>
      <w:r w:rsidRPr="00887A66">
        <w:rPr>
          <w:sz w:val="36"/>
          <w:szCs w:val="36"/>
          <w:highlight w:val="cyan"/>
        </w:rPr>
        <w:t xml:space="preserve">CHAT GPT </w:t>
      </w:r>
      <w:r w:rsidR="00523CA0" w:rsidRPr="00887A66">
        <w:rPr>
          <w:sz w:val="36"/>
          <w:szCs w:val="36"/>
          <w:highlight w:val="cyan"/>
        </w:rPr>
        <w:t xml:space="preserve">comments and </w:t>
      </w:r>
      <w:r w:rsidRPr="00887A66">
        <w:rPr>
          <w:sz w:val="36"/>
          <w:szCs w:val="36"/>
          <w:highlight w:val="cyan"/>
        </w:rPr>
        <w:t>recommendations:</w:t>
      </w:r>
    </w:p>
    <w:p w14:paraId="4D2F1DED" w14:textId="77777777" w:rsidR="00E3115B" w:rsidRPr="000B4AEA" w:rsidRDefault="00E3115B" w:rsidP="00E3115B">
      <w:pPr>
        <w:pStyle w:val="p3"/>
      </w:pPr>
      <w:r w:rsidRPr="000B4AEA">
        <w:rPr>
          <w:b/>
          <w:bCs/>
        </w:rPr>
        <w:t>How the phenomenon maps to nonparametric methods (short link to modeling choices)</w:t>
      </w:r>
    </w:p>
    <w:p w14:paraId="6A70F9CF" w14:textId="77777777" w:rsidR="00523CA0" w:rsidRDefault="00E3115B" w:rsidP="00E3115B">
      <w:pPr>
        <w:pStyle w:val="p1"/>
        <w:numPr>
          <w:ilvl w:val="0"/>
          <w:numId w:val="15"/>
        </w:numPr>
      </w:pPr>
      <w:r w:rsidRPr="000B4AEA">
        <w:t xml:space="preserve">Because transfers are often intermittent, heavy-tailed, and driven by complex, non-linear processes, </w:t>
      </w:r>
      <w:r w:rsidRPr="000B4AEA">
        <w:rPr>
          <w:rStyle w:val="s1"/>
          <w:rFonts w:eastAsiaTheme="majorEastAsia"/>
          <w:b/>
          <w:bCs/>
        </w:rPr>
        <w:t>nonparametric</w:t>
      </w:r>
      <w:r w:rsidRPr="000B4AEA">
        <w:t xml:space="preserve">/generative methods (empirical transition models, block bootstraps of annual multivariate vectors, kernel density sampling of TIV within categories, empirical copulas for joint dependence) are a good fit: they let you preserve empirical dependence structure (across categories and years) without imposing rigid parametric time-series forms. </w:t>
      </w:r>
    </w:p>
    <w:p w14:paraId="239BE24B" w14:textId="3FD18799" w:rsidR="00E3115B" w:rsidRPr="000B4AEA" w:rsidRDefault="00E3115B" w:rsidP="00E3115B">
      <w:pPr>
        <w:pStyle w:val="p1"/>
        <w:numPr>
          <w:ilvl w:val="0"/>
          <w:numId w:val="15"/>
        </w:numPr>
      </w:pPr>
      <w:r w:rsidRPr="000B4AEA">
        <w:t>I recommended a hybrid Markov + KDE + moving-block bootstrap approach; that maps directly to this phenomenon.</w:t>
      </w:r>
    </w:p>
    <w:p w14:paraId="481E240F" w14:textId="77777777" w:rsidR="0035761E" w:rsidRDefault="0035761E" w:rsidP="0035761E">
      <w:pPr>
        <w:pBdr>
          <w:bottom w:val="double" w:sz="6" w:space="1" w:color="auto"/>
        </w:pBdr>
        <w:shd w:val="clear" w:color="auto" w:fill="FFFFFF"/>
        <w:ind w:left="720"/>
        <w:rPr>
          <w:rFonts w:ascii="Segoe UI" w:hAnsi="Segoe UI" w:cs="Segoe UI"/>
          <w:sz w:val="21"/>
          <w:szCs w:val="21"/>
        </w:rPr>
      </w:pPr>
    </w:p>
    <w:p w14:paraId="36F7F549" w14:textId="77777777" w:rsidR="0035761E" w:rsidRDefault="0035761E" w:rsidP="0035761E">
      <w:pPr>
        <w:pBdr>
          <w:bottom w:val="double" w:sz="6" w:space="1" w:color="auto"/>
        </w:pBdr>
        <w:shd w:val="clear" w:color="auto" w:fill="FFFFFF"/>
        <w:ind w:left="720"/>
        <w:rPr>
          <w:rFonts w:ascii="Segoe UI" w:hAnsi="Segoe UI" w:cs="Segoe UI"/>
          <w:sz w:val="21"/>
          <w:szCs w:val="21"/>
        </w:rPr>
      </w:pPr>
    </w:p>
    <w:p w14:paraId="7C62B013" w14:textId="77777777" w:rsidR="0035761E" w:rsidRDefault="0035761E" w:rsidP="0035761E">
      <w:pPr>
        <w:pBdr>
          <w:bottom w:val="double" w:sz="6" w:space="1" w:color="auto"/>
        </w:pBdr>
        <w:shd w:val="clear" w:color="auto" w:fill="FFFFFF"/>
        <w:ind w:left="720"/>
        <w:rPr>
          <w:rFonts w:ascii="Segoe UI" w:hAnsi="Segoe UI" w:cs="Segoe UI"/>
          <w:sz w:val="21"/>
          <w:szCs w:val="21"/>
        </w:rPr>
      </w:pPr>
    </w:p>
    <w:p w14:paraId="29B986C8" w14:textId="77777777" w:rsidR="0035761E" w:rsidRPr="002F27BE" w:rsidRDefault="0035761E" w:rsidP="0035761E">
      <w:pPr>
        <w:shd w:val="clear" w:color="auto" w:fill="FFFFFF"/>
        <w:rPr>
          <w:rFonts w:ascii="Segoe UI" w:hAnsi="Segoe UI" w:cs="Segoe UI"/>
          <w:sz w:val="21"/>
          <w:szCs w:val="21"/>
        </w:rPr>
      </w:pPr>
    </w:p>
    <w:p w14:paraId="475A2DD0" w14:textId="77777777" w:rsidR="0035761E" w:rsidRDefault="0035761E" w:rsidP="0035761E">
      <w:pPr>
        <w:numPr>
          <w:ilvl w:val="0"/>
          <w:numId w:val="2"/>
        </w:numPr>
        <w:shd w:val="clear" w:color="auto" w:fill="FFFFFF"/>
        <w:rPr>
          <w:rFonts w:ascii="Segoe UI" w:hAnsi="Segoe UI" w:cs="Segoe UI"/>
          <w:sz w:val="21"/>
          <w:szCs w:val="21"/>
        </w:rPr>
      </w:pPr>
      <w:r w:rsidRPr="002F27BE">
        <w:rPr>
          <w:rFonts w:ascii="Segoe UI" w:hAnsi="Segoe UI" w:cs="Segoe UI"/>
          <w:sz w:val="21"/>
          <w:szCs w:val="21"/>
        </w:rPr>
        <w:lastRenderedPageBreak/>
        <w:t>Describe your non-parametric model (empirical cumulative distribution functions, kernel density function, local constant least squares regression, Markov transition models). How are you fitting your model to the phenomenon to get realistic properties of the data? What challenges did you have to overcome? (15/100 pts)</w:t>
      </w:r>
    </w:p>
    <w:p w14:paraId="699C60A6" w14:textId="77777777" w:rsidR="0035761E" w:rsidRPr="002F27BE" w:rsidRDefault="0035761E" w:rsidP="0035761E">
      <w:pPr>
        <w:shd w:val="clear" w:color="auto" w:fill="FFFFFF"/>
        <w:ind w:left="720"/>
        <w:rPr>
          <w:rFonts w:ascii="Segoe UI" w:hAnsi="Segoe UI" w:cs="Segoe UI"/>
          <w:sz w:val="21"/>
          <w:szCs w:val="21"/>
        </w:rPr>
      </w:pPr>
    </w:p>
    <w:p w14:paraId="2F34A336" w14:textId="77777777" w:rsidR="0035761E" w:rsidRDefault="0035761E" w:rsidP="0035761E">
      <w:pPr>
        <w:numPr>
          <w:ilvl w:val="0"/>
          <w:numId w:val="2"/>
        </w:numPr>
        <w:shd w:val="clear" w:color="auto" w:fill="FFFFFF"/>
        <w:rPr>
          <w:rFonts w:ascii="Segoe UI" w:hAnsi="Segoe UI" w:cs="Segoe UI"/>
          <w:sz w:val="21"/>
          <w:szCs w:val="21"/>
        </w:rPr>
      </w:pPr>
      <w:r w:rsidRPr="002F27BE">
        <w:rPr>
          <w:rFonts w:ascii="Segoe UI" w:hAnsi="Segoe UI" w:cs="Segoe UI"/>
          <w:sz w:val="21"/>
          <w:szCs w:val="21"/>
        </w:rPr>
        <w:t>Either use your model to create new sequences (if the model is more generative) or bootstrap a quantity of interest (if the model is more inferential). (15/100 pts)</w:t>
      </w:r>
    </w:p>
    <w:p w14:paraId="11661F78" w14:textId="77777777" w:rsidR="0035761E" w:rsidRPr="002F27BE" w:rsidRDefault="0035761E" w:rsidP="0035761E">
      <w:pPr>
        <w:shd w:val="clear" w:color="auto" w:fill="FFFFFF"/>
        <w:ind w:left="720"/>
        <w:rPr>
          <w:rFonts w:ascii="Segoe UI" w:hAnsi="Segoe UI" w:cs="Segoe UI"/>
          <w:sz w:val="21"/>
          <w:szCs w:val="21"/>
        </w:rPr>
      </w:pPr>
    </w:p>
    <w:p w14:paraId="15D1F1B3" w14:textId="77777777" w:rsidR="0035761E" w:rsidRDefault="0035761E" w:rsidP="0035761E">
      <w:pPr>
        <w:numPr>
          <w:ilvl w:val="0"/>
          <w:numId w:val="2"/>
        </w:numPr>
        <w:shd w:val="clear" w:color="auto" w:fill="FFFFFF"/>
        <w:rPr>
          <w:rFonts w:ascii="Segoe UI" w:hAnsi="Segoe UI" w:cs="Segoe UI"/>
          <w:sz w:val="21"/>
          <w:szCs w:val="21"/>
        </w:rPr>
      </w:pPr>
      <w:r w:rsidRPr="002F27BE">
        <w:rPr>
          <w:rFonts w:ascii="Segoe UI" w:hAnsi="Segoe UI" w:cs="Segoe UI"/>
          <w:sz w:val="21"/>
          <w:szCs w:val="21"/>
        </w:rPr>
        <w:t>Critically evaluate your work in part 4. Do your sequences have the properties of the training data, and if not, why not? Are your estimates credible and reliable, or is there substantial uncertainty in your results? (15/100 pts)</w:t>
      </w:r>
    </w:p>
    <w:p w14:paraId="32320EDC" w14:textId="77777777" w:rsidR="0035761E" w:rsidRPr="002F27BE" w:rsidRDefault="0035761E" w:rsidP="0035761E">
      <w:pPr>
        <w:shd w:val="clear" w:color="auto" w:fill="FFFFFF"/>
        <w:ind w:left="720"/>
        <w:rPr>
          <w:rFonts w:ascii="Segoe UI" w:hAnsi="Segoe UI" w:cs="Segoe UI"/>
          <w:sz w:val="21"/>
          <w:szCs w:val="21"/>
        </w:rPr>
      </w:pPr>
    </w:p>
    <w:p w14:paraId="4570D58E" w14:textId="77777777" w:rsidR="0035761E" w:rsidRDefault="0035761E" w:rsidP="0035761E">
      <w:pPr>
        <w:numPr>
          <w:ilvl w:val="0"/>
          <w:numId w:val="2"/>
        </w:numPr>
        <w:shd w:val="clear" w:color="auto" w:fill="FFFFFF"/>
        <w:rPr>
          <w:rFonts w:ascii="Segoe UI" w:hAnsi="Segoe UI" w:cs="Segoe UI"/>
          <w:sz w:val="21"/>
          <w:szCs w:val="21"/>
        </w:rPr>
      </w:pPr>
      <w:r w:rsidRPr="002F27BE">
        <w:rPr>
          <w:rFonts w:ascii="Segoe UI" w:hAnsi="Segoe UI" w:cs="Segoe UI"/>
          <w:sz w:val="21"/>
          <w:szCs w:val="21"/>
        </w:rPr>
        <w:t>Write a conclusion that explains the limitations of your analysis and potential for future work on this topic. (10/100 pts)</w:t>
      </w:r>
    </w:p>
    <w:p w14:paraId="14BD74F1" w14:textId="77777777" w:rsidR="0035761E" w:rsidRDefault="0035761E" w:rsidP="0035761E">
      <w:pPr>
        <w:pStyle w:val="ListParagraph"/>
        <w:rPr>
          <w:rFonts w:ascii="Segoe UI" w:hAnsi="Segoe UI" w:cs="Segoe UI"/>
          <w:sz w:val="21"/>
          <w:szCs w:val="21"/>
        </w:rPr>
      </w:pPr>
    </w:p>
    <w:p w14:paraId="433BF88C" w14:textId="77777777" w:rsidR="0035761E" w:rsidRDefault="0035761E" w:rsidP="0035761E">
      <w:pPr>
        <w:numPr>
          <w:ilvl w:val="0"/>
          <w:numId w:val="2"/>
        </w:numPr>
        <w:shd w:val="clear" w:color="auto" w:fill="FFFFFF"/>
        <w:rPr>
          <w:rFonts w:ascii="Segoe UI" w:hAnsi="Segoe UI" w:cs="Segoe UI"/>
          <w:sz w:val="21"/>
          <w:szCs w:val="21"/>
        </w:rPr>
      </w:pPr>
      <w:r w:rsidRPr="002F27BE">
        <w:rPr>
          <w:rFonts w:ascii="Segoe UI" w:hAnsi="Segoe UI" w:cs="Segoe UI"/>
          <w:sz w:val="21"/>
          <w:szCs w:val="21"/>
        </w:rPr>
        <w:t xml:space="preserve">submit a GitHub repo containing your code and a description of how to obtain the original data from the source. Make sure the code is commented, where appropriate. Include </w:t>
      </w:r>
      <w:proofErr w:type="gramStart"/>
      <w:r w:rsidRPr="002F27BE">
        <w:rPr>
          <w:rFonts w:ascii="Segoe UI" w:hAnsi="Segoe UI" w:cs="Segoe UI"/>
          <w:sz w:val="21"/>
          <w:szCs w:val="21"/>
        </w:rPr>
        <w:t>a</w:t>
      </w:r>
      <w:r>
        <w:rPr>
          <w:rFonts w:ascii="Segoe UI" w:hAnsi="Segoe UI" w:cs="Segoe UI"/>
          <w:sz w:val="21"/>
          <w:szCs w:val="21"/>
        </w:rPr>
        <w:t xml:space="preserve"> </w:t>
      </w:r>
      <w:r w:rsidRPr="002F27BE">
        <w:rPr>
          <w:rFonts w:ascii="Segoe UI" w:hAnsi="Segoe UI" w:cs="Segoe UI"/>
          <w:sz w:val="21"/>
          <w:szCs w:val="21"/>
        </w:rPr>
        <w:t>.</w:t>
      </w:r>
      <w:proofErr w:type="spellStart"/>
      <w:r w:rsidRPr="002F27BE">
        <w:rPr>
          <w:rFonts w:ascii="Segoe UI" w:hAnsi="Segoe UI" w:cs="Segoe UI"/>
          <w:sz w:val="21"/>
          <w:szCs w:val="21"/>
        </w:rPr>
        <w:t>gitignore</w:t>
      </w:r>
      <w:proofErr w:type="spellEnd"/>
      <w:proofErr w:type="gramEnd"/>
      <w:r w:rsidRPr="002F27BE">
        <w:rPr>
          <w:rFonts w:ascii="Segoe UI" w:hAnsi="Segoe UI" w:cs="Segoe UI"/>
          <w:sz w:val="21"/>
          <w:szCs w:val="21"/>
        </w:rPr>
        <w:t xml:space="preserve"> file. </w:t>
      </w:r>
    </w:p>
    <w:p w14:paraId="6EBAF922" w14:textId="77777777" w:rsidR="0035761E" w:rsidRDefault="0035761E" w:rsidP="0035761E">
      <w:pPr>
        <w:pStyle w:val="ListParagraph"/>
        <w:rPr>
          <w:rFonts w:ascii="Segoe UI" w:hAnsi="Segoe UI" w:cs="Segoe UI"/>
          <w:sz w:val="21"/>
          <w:szCs w:val="21"/>
        </w:rPr>
      </w:pPr>
    </w:p>
    <w:p w14:paraId="15F48B3C" w14:textId="77777777" w:rsidR="0035761E" w:rsidRPr="002F27BE" w:rsidRDefault="0035761E" w:rsidP="0035761E">
      <w:pPr>
        <w:shd w:val="clear" w:color="auto" w:fill="FFFFFF"/>
        <w:ind w:left="720"/>
        <w:rPr>
          <w:rFonts w:ascii="Segoe UI" w:hAnsi="Segoe UI" w:cs="Segoe UI"/>
          <w:sz w:val="21"/>
          <w:szCs w:val="21"/>
        </w:rPr>
      </w:pPr>
    </w:p>
    <w:p w14:paraId="618E3644" w14:textId="77777777" w:rsidR="0035761E" w:rsidRPr="002F27BE" w:rsidRDefault="0035761E" w:rsidP="0035761E">
      <w:pPr>
        <w:shd w:val="clear" w:color="auto" w:fill="FFFFFF"/>
        <w:spacing w:after="240"/>
        <w:rPr>
          <w:rFonts w:ascii="Segoe UI" w:hAnsi="Segoe UI" w:cs="Segoe UI"/>
          <w:sz w:val="21"/>
          <w:szCs w:val="21"/>
        </w:rPr>
      </w:pPr>
      <w:r w:rsidRPr="002F27BE">
        <w:rPr>
          <w:rFonts w:ascii="Segoe UI" w:hAnsi="Segoe UI" w:cs="Segoe UI"/>
          <w:sz w:val="21"/>
          <w:szCs w:val="21"/>
        </w:rPr>
        <w:t>We will look at your commit history briefly to determine whether everyone in the group contributed. (10/100 pts)</w:t>
      </w:r>
    </w:p>
    <w:p w14:paraId="27C4B4C2" w14:textId="77777777" w:rsidR="0035761E" w:rsidRPr="002F27BE" w:rsidRDefault="0035761E" w:rsidP="0035761E">
      <w:pPr>
        <w:shd w:val="clear" w:color="auto" w:fill="FFFFFF"/>
        <w:spacing w:after="120"/>
        <w:rPr>
          <w:rFonts w:ascii="Segoe UI" w:hAnsi="Segoe UI" w:cs="Segoe UI"/>
          <w:sz w:val="21"/>
          <w:szCs w:val="21"/>
        </w:rPr>
      </w:pPr>
      <w:r w:rsidRPr="002F27BE">
        <w:rPr>
          <w:rFonts w:ascii="Segoe UI" w:hAnsi="Segoe UI" w:cs="Segoe UI"/>
          <w:sz w:val="21"/>
          <w:szCs w:val="21"/>
        </w:rPr>
        <w:t>In class, we'll briefly do presentations and criticize each other's work, and participation in your group's presentation and constructively critiquing the other groups' presentations accounts for the remaining 15/100 pts.</w:t>
      </w:r>
    </w:p>
    <w:p w14:paraId="40573917" w14:textId="77777777" w:rsidR="0035761E" w:rsidRDefault="0035761E" w:rsidP="0035761E"/>
    <w:p w14:paraId="6D35ED30" w14:textId="77777777" w:rsidR="0035761E" w:rsidRDefault="0035761E" w:rsidP="0035761E"/>
    <w:p w14:paraId="48D92F5E" w14:textId="77777777" w:rsidR="0035761E" w:rsidRDefault="0035761E" w:rsidP="0035761E">
      <w:proofErr w:type="spellStart"/>
      <w:r w:rsidRPr="005864ED">
        <w:rPr>
          <w:highlight w:val="yellow"/>
        </w:rPr>
        <w:t>Sandkey</w:t>
      </w:r>
      <w:proofErr w:type="spellEnd"/>
      <w:r w:rsidRPr="005864ED">
        <w:rPr>
          <w:highlight w:val="yellow"/>
        </w:rPr>
        <w:t xml:space="preserve"> diagram – flow visualization</w:t>
      </w:r>
    </w:p>
    <w:p w14:paraId="766DF753" w14:textId="77777777" w:rsidR="00E3115B" w:rsidRDefault="00E3115B"/>
    <w:sectPr w:rsidR="00E3115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5EE6" w14:textId="77777777" w:rsidR="00132F12" w:rsidRDefault="00132F12" w:rsidP="00887A66">
      <w:r>
        <w:separator/>
      </w:r>
    </w:p>
  </w:endnote>
  <w:endnote w:type="continuationSeparator" w:id="0">
    <w:p w14:paraId="0DE6D953" w14:textId="77777777" w:rsidR="00132F12" w:rsidRDefault="00132F12" w:rsidP="00887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FF8F4" w14:textId="77777777" w:rsidR="00132F12" w:rsidRDefault="00132F12" w:rsidP="00887A66">
      <w:r>
        <w:separator/>
      </w:r>
    </w:p>
  </w:footnote>
  <w:footnote w:type="continuationSeparator" w:id="0">
    <w:p w14:paraId="5D66E6DC" w14:textId="77777777" w:rsidR="00132F12" w:rsidRDefault="00132F12" w:rsidP="00887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D4B0" w14:textId="38E9E0A1" w:rsidR="00887A66" w:rsidRPr="00887A66" w:rsidRDefault="00887A66" w:rsidP="00887A66">
    <w:pPr>
      <w:shd w:val="clear" w:color="auto" w:fill="FFFFFF"/>
      <w:spacing w:before="261" w:after="174"/>
      <w:jc w:val="center"/>
      <w:outlineLvl w:val="0"/>
      <w:rPr>
        <w:kern w:val="36"/>
        <w:sz w:val="40"/>
        <w:szCs w:val="40"/>
      </w:rPr>
    </w:pPr>
    <w:r w:rsidRPr="00887A66">
      <w:rPr>
        <w:kern w:val="36"/>
        <w:sz w:val="40"/>
        <w:szCs w:val="40"/>
      </w:rPr>
      <w:t>5030 – Project 1</w:t>
    </w:r>
  </w:p>
  <w:p w14:paraId="18BAE87C" w14:textId="77777777" w:rsidR="00887A66" w:rsidRDefault="00887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757D5"/>
    <w:multiLevelType w:val="multilevel"/>
    <w:tmpl w:val="7BA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F4046"/>
    <w:multiLevelType w:val="multilevel"/>
    <w:tmpl w:val="E1D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93020D"/>
    <w:multiLevelType w:val="multilevel"/>
    <w:tmpl w:val="932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F6C4F"/>
    <w:multiLevelType w:val="multilevel"/>
    <w:tmpl w:val="ADB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8768F"/>
    <w:multiLevelType w:val="multilevel"/>
    <w:tmpl w:val="ABD45FE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A5DA3"/>
    <w:multiLevelType w:val="multilevel"/>
    <w:tmpl w:val="06F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9380F"/>
    <w:multiLevelType w:val="multilevel"/>
    <w:tmpl w:val="932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F3CFC"/>
    <w:multiLevelType w:val="multilevel"/>
    <w:tmpl w:val="A81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D391C"/>
    <w:multiLevelType w:val="multilevel"/>
    <w:tmpl w:val="654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65C40"/>
    <w:multiLevelType w:val="multilevel"/>
    <w:tmpl w:val="1BBC73DE"/>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F4944"/>
    <w:multiLevelType w:val="multilevel"/>
    <w:tmpl w:val="61FECB4C"/>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85C8A"/>
    <w:multiLevelType w:val="multilevel"/>
    <w:tmpl w:val="C4B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B542B"/>
    <w:multiLevelType w:val="multilevel"/>
    <w:tmpl w:val="5AE0C4EA"/>
    <w:lvl w:ilvl="0">
      <w:start w:val="1"/>
      <w:numFmt w:val="bullet"/>
      <w:lvlText w:val=""/>
      <w:lvlJc w:val="left"/>
      <w:pPr>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C7E09"/>
    <w:multiLevelType w:val="multilevel"/>
    <w:tmpl w:val="50F8B27C"/>
    <w:lvl w:ilvl="0">
      <w:start w:val="1"/>
      <w:numFmt w:val="bullet"/>
      <w:lvlText w:val=""/>
      <w:lvlJc w:val="left"/>
      <w:pPr>
        <w:ind w:left="720" w:hanging="360"/>
      </w:pPr>
      <w:rPr>
        <w:rFonts w:ascii="Wingdings" w:hAnsi="Wingding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17F12"/>
    <w:multiLevelType w:val="multilevel"/>
    <w:tmpl w:val="932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A441F2"/>
    <w:multiLevelType w:val="multilevel"/>
    <w:tmpl w:val="536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F7DA0"/>
    <w:multiLevelType w:val="multilevel"/>
    <w:tmpl w:val="7AA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650021">
    <w:abstractNumId w:val="1"/>
  </w:num>
  <w:num w:numId="2" w16cid:durableId="1562520151">
    <w:abstractNumId w:val="6"/>
  </w:num>
  <w:num w:numId="3" w16cid:durableId="679042950">
    <w:abstractNumId w:val="8"/>
  </w:num>
  <w:num w:numId="4" w16cid:durableId="1910724214">
    <w:abstractNumId w:val="15"/>
  </w:num>
  <w:num w:numId="5" w16cid:durableId="1053768045">
    <w:abstractNumId w:val="10"/>
  </w:num>
  <w:num w:numId="6" w16cid:durableId="636180260">
    <w:abstractNumId w:val="7"/>
  </w:num>
  <w:num w:numId="7" w16cid:durableId="1453785297">
    <w:abstractNumId w:val="9"/>
  </w:num>
  <w:num w:numId="8" w16cid:durableId="960452481">
    <w:abstractNumId w:val="0"/>
  </w:num>
  <w:num w:numId="9" w16cid:durableId="573247584">
    <w:abstractNumId w:val="3"/>
  </w:num>
  <w:num w:numId="10" w16cid:durableId="612857681">
    <w:abstractNumId w:val="16"/>
  </w:num>
  <w:num w:numId="11" w16cid:durableId="1849245932">
    <w:abstractNumId w:val="4"/>
  </w:num>
  <w:num w:numId="12" w16cid:durableId="1352344396">
    <w:abstractNumId w:val="12"/>
  </w:num>
  <w:num w:numId="13" w16cid:durableId="2001345315">
    <w:abstractNumId w:val="13"/>
  </w:num>
  <w:num w:numId="14" w16cid:durableId="492843459">
    <w:abstractNumId w:val="11"/>
  </w:num>
  <w:num w:numId="15" w16cid:durableId="69426238">
    <w:abstractNumId w:val="5"/>
  </w:num>
  <w:num w:numId="16" w16cid:durableId="1282305128">
    <w:abstractNumId w:val="2"/>
  </w:num>
  <w:num w:numId="17" w16cid:durableId="7939819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7BE"/>
    <w:rsid w:val="000B4AEA"/>
    <w:rsid w:val="0010739A"/>
    <w:rsid w:val="00132F12"/>
    <w:rsid w:val="00253E27"/>
    <w:rsid w:val="002F27BE"/>
    <w:rsid w:val="0035761E"/>
    <w:rsid w:val="00523CA0"/>
    <w:rsid w:val="005864ED"/>
    <w:rsid w:val="00887A66"/>
    <w:rsid w:val="009716DF"/>
    <w:rsid w:val="00AF152E"/>
    <w:rsid w:val="00CA52D7"/>
    <w:rsid w:val="00E04E23"/>
    <w:rsid w:val="00E3115B"/>
    <w:rsid w:val="00FC0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3853E"/>
  <w15:chartTrackingRefBased/>
  <w15:docId w15:val="{4F25A0D1-3D0D-D64A-A962-4BBF21A2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E2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F2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7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7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7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7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7BE"/>
    <w:rPr>
      <w:rFonts w:eastAsiaTheme="majorEastAsia" w:cstheme="majorBidi"/>
      <w:color w:val="272727" w:themeColor="text1" w:themeTint="D8"/>
    </w:rPr>
  </w:style>
  <w:style w:type="paragraph" w:styleId="Title">
    <w:name w:val="Title"/>
    <w:basedOn w:val="Normal"/>
    <w:next w:val="Normal"/>
    <w:link w:val="TitleChar"/>
    <w:uiPriority w:val="10"/>
    <w:qFormat/>
    <w:rsid w:val="002F27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7BE"/>
    <w:pPr>
      <w:spacing w:before="160"/>
      <w:jc w:val="center"/>
    </w:pPr>
    <w:rPr>
      <w:i/>
      <w:iCs/>
      <w:color w:val="404040" w:themeColor="text1" w:themeTint="BF"/>
    </w:rPr>
  </w:style>
  <w:style w:type="character" w:customStyle="1" w:styleId="QuoteChar">
    <w:name w:val="Quote Char"/>
    <w:basedOn w:val="DefaultParagraphFont"/>
    <w:link w:val="Quote"/>
    <w:uiPriority w:val="29"/>
    <w:rsid w:val="002F27BE"/>
    <w:rPr>
      <w:i/>
      <w:iCs/>
      <w:color w:val="404040" w:themeColor="text1" w:themeTint="BF"/>
    </w:rPr>
  </w:style>
  <w:style w:type="paragraph" w:styleId="ListParagraph">
    <w:name w:val="List Paragraph"/>
    <w:basedOn w:val="Normal"/>
    <w:uiPriority w:val="34"/>
    <w:qFormat/>
    <w:rsid w:val="002F27BE"/>
    <w:pPr>
      <w:ind w:left="720"/>
      <w:contextualSpacing/>
    </w:pPr>
  </w:style>
  <w:style w:type="character" w:styleId="IntenseEmphasis">
    <w:name w:val="Intense Emphasis"/>
    <w:basedOn w:val="DefaultParagraphFont"/>
    <w:uiPriority w:val="21"/>
    <w:qFormat/>
    <w:rsid w:val="002F27BE"/>
    <w:rPr>
      <w:i/>
      <w:iCs/>
      <w:color w:val="0F4761" w:themeColor="accent1" w:themeShade="BF"/>
    </w:rPr>
  </w:style>
  <w:style w:type="paragraph" w:styleId="IntenseQuote">
    <w:name w:val="Intense Quote"/>
    <w:basedOn w:val="Normal"/>
    <w:next w:val="Normal"/>
    <w:link w:val="IntenseQuoteChar"/>
    <w:uiPriority w:val="30"/>
    <w:qFormat/>
    <w:rsid w:val="002F2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7BE"/>
    <w:rPr>
      <w:i/>
      <w:iCs/>
      <w:color w:val="0F4761" w:themeColor="accent1" w:themeShade="BF"/>
    </w:rPr>
  </w:style>
  <w:style w:type="character" w:styleId="IntenseReference">
    <w:name w:val="Intense Reference"/>
    <w:basedOn w:val="DefaultParagraphFont"/>
    <w:uiPriority w:val="32"/>
    <w:qFormat/>
    <w:rsid w:val="002F27BE"/>
    <w:rPr>
      <w:b/>
      <w:bCs/>
      <w:smallCaps/>
      <w:color w:val="0F4761" w:themeColor="accent1" w:themeShade="BF"/>
      <w:spacing w:val="5"/>
    </w:rPr>
  </w:style>
  <w:style w:type="paragraph" w:styleId="NormalWeb">
    <w:name w:val="Normal (Web)"/>
    <w:basedOn w:val="Normal"/>
    <w:uiPriority w:val="99"/>
    <w:semiHidden/>
    <w:unhideWhenUsed/>
    <w:rsid w:val="002F27BE"/>
    <w:pPr>
      <w:spacing w:before="100" w:beforeAutospacing="1" w:after="100" w:afterAutospacing="1"/>
    </w:pPr>
  </w:style>
  <w:style w:type="character" w:styleId="Hyperlink">
    <w:name w:val="Hyperlink"/>
    <w:basedOn w:val="DefaultParagraphFont"/>
    <w:uiPriority w:val="99"/>
    <w:semiHidden/>
    <w:unhideWhenUsed/>
    <w:rsid w:val="002F27BE"/>
    <w:rPr>
      <w:color w:val="0000FF"/>
      <w:u w:val="single"/>
    </w:rPr>
  </w:style>
  <w:style w:type="paragraph" w:customStyle="1" w:styleId="p1">
    <w:name w:val="p1"/>
    <w:basedOn w:val="Normal"/>
    <w:rsid w:val="00253E27"/>
    <w:pPr>
      <w:spacing w:before="100" w:beforeAutospacing="1" w:after="100" w:afterAutospacing="1"/>
    </w:pPr>
  </w:style>
  <w:style w:type="character" w:customStyle="1" w:styleId="s1">
    <w:name w:val="s1"/>
    <w:basedOn w:val="DefaultParagraphFont"/>
    <w:rsid w:val="00253E27"/>
  </w:style>
  <w:style w:type="paragraph" w:customStyle="1" w:styleId="p2">
    <w:name w:val="p2"/>
    <w:basedOn w:val="Normal"/>
    <w:rsid w:val="00253E27"/>
    <w:pPr>
      <w:spacing w:before="100" w:beforeAutospacing="1" w:after="100" w:afterAutospacing="1"/>
    </w:pPr>
  </w:style>
  <w:style w:type="paragraph" w:customStyle="1" w:styleId="p3">
    <w:name w:val="p3"/>
    <w:basedOn w:val="Normal"/>
    <w:rsid w:val="00253E27"/>
    <w:pPr>
      <w:spacing w:before="100" w:beforeAutospacing="1" w:after="100" w:afterAutospacing="1"/>
    </w:pPr>
  </w:style>
  <w:style w:type="character" w:customStyle="1" w:styleId="apple-converted-space">
    <w:name w:val="apple-converted-space"/>
    <w:basedOn w:val="DefaultParagraphFont"/>
    <w:rsid w:val="00253E27"/>
  </w:style>
  <w:style w:type="paragraph" w:styleId="Header">
    <w:name w:val="header"/>
    <w:basedOn w:val="Normal"/>
    <w:link w:val="HeaderChar"/>
    <w:uiPriority w:val="99"/>
    <w:unhideWhenUsed/>
    <w:rsid w:val="00887A66"/>
    <w:pPr>
      <w:tabs>
        <w:tab w:val="center" w:pos="4680"/>
        <w:tab w:val="right" w:pos="9360"/>
      </w:tabs>
    </w:pPr>
  </w:style>
  <w:style w:type="character" w:customStyle="1" w:styleId="HeaderChar">
    <w:name w:val="Header Char"/>
    <w:basedOn w:val="DefaultParagraphFont"/>
    <w:link w:val="Header"/>
    <w:uiPriority w:val="99"/>
    <w:rsid w:val="00887A6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87A66"/>
    <w:pPr>
      <w:tabs>
        <w:tab w:val="center" w:pos="4680"/>
        <w:tab w:val="right" w:pos="9360"/>
      </w:tabs>
    </w:pPr>
  </w:style>
  <w:style w:type="character" w:customStyle="1" w:styleId="FooterChar">
    <w:name w:val="Footer Char"/>
    <w:basedOn w:val="DefaultParagraphFont"/>
    <w:link w:val="Footer"/>
    <w:uiPriority w:val="99"/>
    <w:rsid w:val="00887A6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ipri.org/databases/armstransf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1114</Words>
  <Characters>6351</Characters>
  <Application>Microsoft Office Word</Application>
  <DocSecurity>0</DocSecurity>
  <Lines>52</Lines>
  <Paragraphs>14</Paragraphs>
  <ScaleCrop>false</ScaleCrop>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Ferenzi</dc:creator>
  <cp:keywords/>
  <dc:description/>
  <cp:lastModifiedBy>Steve Ferenzi</cp:lastModifiedBy>
  <cp:revision>8</cp:revision>
  <dcterms:created xsi:type="dcterms:W3CDTF">2025-10-19T15:41:00Z</dcterms:created>
  <dcterms:modified xsi:type="dcterms:W3CDTF">2025-11-11T04:02:00Z</dcterms:modified>
</cp:coreProperties>
</file>