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0838" w14:textId="611C5C64" w:rsidR="0035761E" w:rsidRPr="00AA660E" w:rsidRDefault="00AA660E" w:rsidP="00C02AB0">
      <w:pPr>
        <w:pStyle w:val="ListParagraph"/>
        <w:numPr>
          <w:ilvl w:val="0"/>
          <w:numId w:val="21"/>
        </w:numPr>
        <w:spacing w:before="100" w:beforeAutospacing="1" w:after="100" w:afterAutospacing="1"/>
        <w:ind w:left="360"/>
        <w:outlineLvl w:val="0"/>
        <w:rPr>
          <w:b/>
          <w:bCs/>
          <w:kern w:val="36"/>
          <w:sz w:val="28"/>
          <w:szCs w:val="28"/>
          <w:u w:val="single"/>
        </w:rPr>
      </w:pPr>
      <w:r w:rsidRPr="00AA660E">
        <w:rPr>
          <w:b/>
          <w:bCs/>
          <w:kern w:val="36"/>
          <w:sz w:val="28"/>
          <w:szCs w:val="28"/>
          <w:u w:val="single"/>
        </w:rPr>
        <w:t>Data Description</w:t>
      </w:r>
    </w:p>
    <w:p w14:paraId="681CB5CC" w14:textId="18114DA2" w:rsidR="0047401B" w:rsidRPr="00AA660E" w:rsidRDefault="0035761E" w:rsidP="00AA660E">
      <w:pPr>
        <w:spacing w:before="100" w:beforeAutospacing="1" w:after="100" w:afterAutospacing="1"/>
        <w:ind w:left="720"/>
        <w:outlineLvl w:val="0"/>
        <w:rPr>
          <w:rFonts w:ascii="Segoe UI" w:hAnsi="Segoe UI" w:cs="Segoe UI"/>
          <w:i/>
          <w:iCs/>
          <w:sz w:val="21"/>
          <w:szCs w:val="21"/>
        </w:rPr>
      </w:pPr>
      <w:r w:rsidRPr="0035761E">
        <w:rPr>
          <w:rFonts w:ascii="Segoe UI" w:hAnsi="Segoe UI" w:cs="Segoe UI"/>
          <w:i/>
          <w:iCs/>
          <w:sz w:val="21"/>
          <w:szCs w:val="21"/>
        </w:rPr>
        <w:t>Describe the data clearly -- particularly any missing data that might impact your analysis -- and the provenance of your dataset. Who collected the data and why? (10/100 pts)</w:t>
      </w:r>
    </w:p>
    <w:p w14:paraId="30746867" w14:textId="4B053F9A" w:rsidR="0047401B" w:rsidRPr="0047401B" w:rsidRDefault="00253E27" w:rsidP="0047401B">
      <w:pPr>
        <w:shd w:val="clear" w:color="auto" w:fill="FFFFFF"/>
      </w:pPr>
      <w:r w:rsidRPr="00253E27">
        <w:rPr>
          <w:b/>
          <w:bCs/>
        </w:rPr>
        <w:t>Provenance &amp; intent</w:t>
      </w:r>
      <w:r w:rsidR="00E3115B" w:rsidRPr="000B4AEA">
        <w:t xml:space="preserve">: </w:t>
      </w:r>
      <w:r w:rsidR="00523CA0">
        <w:t xml:space="preserve">The </w:t>
      </w:r>
      <w:r w:rsidR="00523CA0" w:rsidRPr="00523CA0">
        <w:t>Stockholm International Peace Research Institute</w:t>
      </w:r>
      <w:r w:rsidR="00523CA0">
        <w:t xml:space="preserve"> (</w:t>
      </w:r>
      <w:r w:rsidRPr="00253E27">
        <w:t>SIPRI</w:t>
      </w:r>
      <w:r w:rsidR="00523CA0">
        <w:t>)</w:t>
      </w:r>
      <w:r w:rsidRPr="00253E27">
        <w:t xml:space="preserve"> is a widely used, public, research-oriented source. The primary dataset is the SIPRI Arms Transfers database</w:t>
      </w:r>
      <w:r w:rsidR="0047401B">
        <w:t xml:space="preserve"> (</w:t>
      </w:r>
      <w:hyperlink r:id="rId7" w:history="1">
        <w:r w:rsidR="0047401B" w:rsidRPr="00FA75C8">
          <w:rPr>
            <w:rStyle w:val="Hyperlink"/>
            <w:rFonts w:ascii="Segoe UI" w:hAnsi="Segoe UI" w:cs="Segoe UI"/>
            <w:sz w:val="21"/>
            <w:szCs w:val="21"/>
          </w:rPr>
          <w:t>https://www.sipri.org/databases/armstransfers</w:t>
        </w:r>
      </w:hyperlink>
      <w:r w:rsidR="0047401B">
        <w:rPr>
          <w:rFonts w:ascii="Segoe UI" w:hAnsi="Segoe UI" w:cs="Segoe UI"/>
          <w:color w:val="196B24" w:themeColor="accent3"/>
          <w:sz w:val="21"/>
          <w:szCs w:val="21"/>
          <w:shd w:val="clear" w:color="auto" w:fill="FFFFFF"/>
        </w:rPr>
        <w:t>)</w:t>
      </w:r>
      <w:r w:rsidR="0047401B">
        <w:t xml:space="preserve"> which </w:t>
      </w:r>
      <w:r w:rsidRPr="00253E27">
        <w:t>documents deliveries of major conventional arms since 1950</w:t>
      </w:r>
      <w:r w:rsidR="0047401B">
        <w:t xml:space="preserve">. SIPRI </w:t>
      </w:r>
      <w:r w:rsidR="0047401B" w:rsidRPr="0047401B">
        <w:rPr>
          <w:rFonts w:ascii="Segoe UI" w:hAnsi="Segoe UI" w:cs="Segoe UI"/>
          <w:color w:val="196B24" w:themeColor="accent3"/>
          <w:sz w:val="21"/>
          <w:szCs w:val="21"/>
          <w:shd w:val="clear" w:color="auto" w:fill="FFFFFF"/>
        </w:rPr>
        <w:t xml:space="preserve">created the database </w:t>
      </w:r>
      <w:r w:rsidR="0047401B" w:rsidRPr="0047401B">
        <w:rPr>
          <w:rFonts w:ascii="Segoe UI" w:hAnsi="Segoe UI" w:cs="Segoe UI"/>
          <w:color w:val="196B24" w:themeColor="accent3"/>
          <w:sz w:val="21"/>
          <w:szCs w:val="21"/>
          <w:shd w:val="clear" w:color="auto" w:fill="FFFFFF"/>
        </w:rPr>
        <w:t>for</w:t>
      </w:r>
      <w:r w:rsidR="0047401B" w:rsidRPr="0047401B">
        <w:rPr>
          <w:rFonts w:ascii="Segoe UI" w:hAnsi="Segoe UI" w:cs="Segoe UI"/>
          <w:color w:val="196B24" w:themeColor="accent3"/>
          <w:sz w:val="21"/>
          <w:szCs w:val="21"/>
          <w:shd w:val="clear" w:color="auto" w:fill="FFFFFF"/>
        </w:rPr>
        <w:t xml:space="preserve"> analysts, researchers, policymakers, and the media to better understand the arms trade and how it has changed over time.</w:t>
      </w:r>
      <w:r w:rsidR="0047401B">
        <w:rPr>
          <w:rFonts w:ascii="Segoe UI" w:hAnsi="Segoe UI" w:cs="Segoe UI"/>
          <w:color w:val="196B24" w:themeColor="accent3"/>
          <w:sz w:val="21"/>
          <w:szCs w:val="21"/>
          <w:shd w:val="clear" w:color="auto" w:fill="FFFFFF"/>
        </w:rPr>
        <w:t xml:space="preserve"> </w:t>
      </w:r>
      <w:r w:rsidR="0047401B">
        <w:t xml:space="preserve">It </w:t>
      </w:r>
      <w:r w:rsidRPr="00253E27">
        <w:t xml:space="preserve">uses </w:t>
      </w:r>
      <w:r w:rsidR="0047401B">
        <w:t>a</w:t>
      </w:r>
      <w:r w:rsidRPr="00253E27">
        <w:t xml:space="preserve"> volume metric called the Trend-Indicator Value (TIV)</w:t>
      </w:r>
      <w:r w:rsidR="0047401B">
        <w:t xml:space="preserve"> which </w:t>
      </w:r>
      <w:r w:rsidRPr="0047401B">
        <w:t>measures military capability/volume, not USD</w:t>
      </w:r>
      <w:r w:rsidR="0047401B">
        <w:t>, to</w:t>
      </w:r>
      <w:r w:rsidR="0047401B" w:rsidRPr="00253E27">
        <w:t xml:space="preserve"> make weapons comparable across types</w:t>
      </w:r>
      <w:r w:rsidR="0047401B">
        <w:t>.</w:t>
      </w:r>
    </w:p>
    <w:p w14:paraId="2789C1B9" w14:textId="5320C446" w:rsidR="00253E27" w:rsidRDefault="00945FD9" w:rsidP="00E3115B">
      <w:pPr>
        <w:spacing w:before="100" w:beforeAutospacing="1" w:after="100" w:afterAutospacing="1"/>
      </w:pPr>
      <w:r>
        <w:rPr>
          <w:b/>
          <w:bCs/>
        </w:rPr>
        <w:t xml:space="preserve">Shape and relevant </w:t>
      </w:r>
      <w:r w:rsidR="00253E27" w:rsidRPr="000B4AEA">
        <w:rPr>
          <w:b/>
          <w:bCs/>
        </w:rPr>
        <w:t>categories</w:t>
      </w:r>
      <w:r w:rsidR="00E3115B" w:rsidRPr="000B4AEA">
        <w:rPr>
          <w:b/>
          <w:bCs/>
        </w:rPr>
        <w:t xml:space="preserve">: </w:t>
      </w:r>
      <w:r w:rsidR="00253E27" w:rsidRPr="00253E27">
        <w:t>recipient country, supplier country</w:t>
      </w:r>
      <w:r w:rsidR="00253E27" w:rsidRPr="000B4AEA">
        <w:t>,</w:t>
      </w:r>
      <w:r w:rsidR="00253E27" w:rsidRPr="00253E27">
        <w:t xml:space="preserve"> delivery year, item name/weapon description, number/quantity</w:t>
      </w:r>
      <w:r w:rsidR="00253E27" w:rsidRPr="000B4AEA">
        <w:t>,</w:t>
      </w:r>
      <w:r w:rsidR="00253E27" w:rsidRPr="00253E27">
        <w:t xml:space="preserve"> TIV for delivered weapons </w:t>
      </w:r>
    </w:p>
    <w:p w14:paraId="3CF5F9FA" w14:textId="3B330973" w:rsidR="00945FD9" w:rsidRPr="00945FD9" w:rsidRDefault="00945FD9" w:rsidP="00945FD9">
      <w:pPr>
        <w:spacing w:before="100" w:beforeAutospacing="1" w:after="100" w:afterAutospacing="1"/>
        <w:ind w:firstLine="720"/>
        <w:rPr>
          <w:b/>
          <w:bCs/>
          <w:color w:val="EE0000"/>
        </w:rPr>
      </w:pPr>
      <w:r w:rsidRPr="00945FD9">
        <w:rPr>
          <w:color w:val="EE0000"/>
        </w:rPr>
        <w:t>What is the shape (column and row #s)</w:t>
      </w:r>
    </w:p>
    <w:p w14:paraId="2E785BDA" w14:textId="157675FA" w:rsidR="00253E27" w:rsidRPr="007302D1" w:rsidRDefault="00253E27" w:rsidP="007302D1">
      <w:pPr>
        <w:spacing w:before="100" w:beforeAutospacing="1" w:after="100" w:afterAutospacing="1"/>
        <w:rPr>
          <w:b/>
          <w:bCs/>
        </w:rPr>
      </w:pPr>
      <w:r w:rsidRPr="000B4AEA">
        <w:rPr>
          <w:b/>
          <w:bCs/>
        </w:rPr>
        <w:t>Data issues:</w:t>
      </w:r>
      <w:r w:rsidR="0047401B">
        <w:rPr>
          <w:b/>
          <w:bCs/>
        </w:rPr>
        <w:t xml:space="preserve"> </w:t>
      </w:r>
      <w:r w:rsidR="0047401B" w:rsidRPr="0047401B">
        <w:rPr>
          <w:rFonts w:ascii="Segoe UI" w:hAnsi="Segoe UI" w:cs="Segoe UI"/>
          <w:color w:val="196B24" w:themeColor="accent3"/>
          <w:sz w:val="21"/>
          <w:szCs w:val="21"/>
          <w:shd w:val="clear" w:color="auto" w:fill="FFFFFF"/>
        </w:rPr>
        <w:t>We did not find any missing data in the dataset</w:t>
      </w:r>
      <w:r w:rsidR="007302D1">
        <w:rPr>
          <w:rFonts w:ascii="Segoe UI" w:hAnsi="Segoe UI" w:cs="Segoe UI"/>
          <w:color w:val="196B24" w:themeColor="accent3"/>
          <w:sz w:val="21"/>
          <w:szCs w:val="21"/>
          <w:shd w:val="clear" w:color="auto" w:fill="FFFFFF"/>
        </w:rPr>
        <w:t xml:space="preserve"> </w:t>
      </w:r>
      <w:r w:rsidR="007302D1" w:rsidRPr="007302D1">
        <w:rPr>
          <w:rFonts w:ascii="Segoe UI" w:hAnsi="Segoe UI" w:cs="Segoe UI"/>
          <w:color w:val="000000" w:themeColor="text1"/>
          <w:sz w:val="21"/>
          <w:szCs w:val="21"/>
          <w:shd w:val="clear" w:color="auto" w:fill="FFFFFF"/>
        </w:rPr>
        <w:t xml:space="preserve">that would affect </w:t>
      </w:r>
      <w:r w:rsidR="00945FD9">
        <w:rPr>
          <w:rFonts w:ascii="Segoe UI" w:hAnsi="Segoe UI" w:cs="Segoe UI"/>
          <w:color w:val="000000" w:themeColor="text1"/>
          <w:sz w:val="21"/>
          <w:szCs w:val="21"/>
          <w:shd w:val="clear" w:color="auto" w:fill="FFFFFF"/>
        </w:rPr>
        <w:t>our</w:t>
      </w:r>
      <w:r w:rsidR="007302D1" w:rsidRPr="007302D1">
        <w:rPr>
          <w:rFonts w:ascii="Segoe UI" w:hAnsi="Segoe UI" w:cs="Segoe UI"/>
          <w:color w:val="000000" w:themeColor="text1"/>
          <w:sz w:val="21"/>
          <w:szCs w:val="21"/>
          <w:shd w:val="clear" w:color="auto" w:fill="FFFFFF"/>
        </w:rPr>
        <w:t xml:space="preserve"> specific research question</w:t>
      </w:r>
      <w:r w:rsidR="0047401B" w:rsidRPr="007302D1">
        <w:rPr>
          <w:rFonts w:ascii="Segoe UI" w:hAnsi="Segoe UI" w:cs="Segoe UI"/>
          <w:color w:val="000000" w:themeColor="text1"/>
          <w:sz w:val="21"/>
          <w:szCs w:val="21"/>
          <w:shd w:val="clear" w:color="auto" w:fill="FFFFFF"/>
        </w:rPr>
        <w:t xml:space="preserve">. </w:t>
      </w:r>
      <w:r w:rsidR="0047401B">
        <w:rPr>
          <w:rFonts w:ascii="Segoe UI" w:hAnsi="Segoe UI" w:cs="Segoe UI"/>
          <w:color w:val="196B24" w:themeColor="accent3"/>
          <w:sz w:val="21"/>
          <w:szCs w:val="21"/>
          <w:shd w:val="clear" w:color="auto" w:fill="FFFFFF"/>
        </w:rPr>
        <w:t>H</w:t>
      </w:r>
      <w:r w:rsidR="0047401B" w:rsidRPr="0047401B">
        <w:rPr>
          <w:rFonts w:ascii="Segoe UI" w:hAnsi="Segoe UI" w:cs="Segoe UI"/>
          <w:color w:val="196B24" w:themeColor="accent3"/>
          <w:sz w:val="21"/>
          <w:szCs w:val="21"/>
          <w:shd w:val="clear" w:color="auto" w:fill="FFFFFF"/>
        </w:rPr>
        <w:t>owever</w:t>
      </w:r>
      <w:r w:rsidR="0047401B">
        <w:rPr>
          <w:rFonts w:ascii="Segoe UI" w:hAnsi="Segoe UI" w:cs="Segoe UI"/>
          <w:color w:val="196B24" w:themeColor="accent3"/>
          <w:sz w:val="21"/>
          <w:szCs w:val="21"/>
          <w:shd w:val="clear" w:color="auto" w:fill="FFFFFF"/>
        </w:rPr>
        <w:t>,</w:t>
      </w:r>
      <w:r w:rsidR="0047401B" w:rsidRPr="0047401B">
        <w:rPr>
          <w:rFonts w:ascii="Segoe UI" w:hAnsi="Segoe UI" w:cs="Segoe UI"/>
          <w:color w:val="196B24" w:themeColor="accent3"/>
          <w:sz w:val="21"/>
          <w:szCs w:val="21"/>
          <w:shd w:val="clear" w:color="auto" w:fill="FFFFFF"/>
        </w:rPr>
        <w:t xml:space="preserve"> </w:t>
      </w:r>
      <w:r w:rsidR="0047401B">
        <w:rPr>
          <w:rFonts w:ascii="Segoe UI" w:hAnsi="Segoe UI" w:cs="Segoe UI"/>
          <w:color w:val="196B24" w:themeColor="accent3"/>
          <w:sz w:val="21"/>
          <w:szCs w:val="21"/>
          <w:shd w:val="clear" w:color="auto" w:fill="FFFFFF"/>
        </w:rPr>
        <w:t xml:space="preserve">various </w:t>
      </w:r>
      <w:r w:rsidR="0047401B" w:rsidRPr="0047401B">
        <w:rPr>
          <w:rFonts w:ascii="Segoe UI" w:hAnsi="Segoe UI" w:cs="Segoe UI"/>
          <w:color w:val="196B24" w:themeColor="accent3"/>
          <w:sz w:val="21"/>
          <w:szCs w:val="21"/>
          <w:shd w:val="clear" w:color="auto" w:fill="FFFFFF"/>
        </w:rPr>
        <w:t>colum</w:t>
      </w:r>
      <w:r w:rsidR="0047401B">
        <w:rPr>
          <w:rFonts w:ascii="Segoe UI" w:hAnsi="Segoe UI" w:cs="Segoe UI"/>
          <w:color w:val="196B24" w:themeColor="accent3"/>
          <w:sz w:val="21"/>
          <w:szCs w:val="21"/>
          <w:shd w:val="clear" w:color="auto" w:fill="FFFFFF"/>
        </w:rPr>
        <w:t>ns and rows were not useful</w:t>
      </w:r>
      <w:r w:rsidR="00945FD9">
        <w:rPr>
          <w:rFonts w:ascii="Segoe UI" w:hAnsi="Segoe UI" w:cs="Segoe UI"/>
          <w:color w:val="196B24" w:themeColor="accent3"/>
          <w:sz w:val="21"/>
          <w:szCs w:val="21"/>
          <w:shd w:val="clear" w:color="auto" w:fill="FFFFFF"/>
        </w:rPr>
        <w:t xml:space="preserve"> </w:t>
      </w:r>
      <w:r w:rsidR="00945FD9" w:rsidRPr="00945FD9">
        <w:rPr>
          <w:rFonts w:ascii="Segoe UI" w:hAnsi="Segoe UI" w:cs="Segoe UI"/>
          <w:color w:val="EE0000"/>
          <w:sz w:val="21"/>
          <w:szCs w:val="21"/>
          <w:shd w:val="clear" w:color="auto" w:fill="FFFFFF"/>
        </w:rPr>
        <w:t xml:space="preserve">[examples?] </w:t>
      </w:r>
      <w:r w:rsidR="0047401B" w:rsidRPr="00682F01">
        <w:rPr>
          <w:color w:val="000000" w:themeColor="text1"/>
          <w:shd w:val="clear" w:color="auto" w:fill="FFFFFF"/>
        </w:rPr>
        <w:t>For broad</w:t>
      </w:r>
      <w:r w:rsidR="007302D1" w:rsidRPr="00682F01">
        <w:rPr>
          <w:color w:val="000000" w:themeColor="text1"/>
          <w:shd w:val="clear" w:color="auto" w:fill="FFFFFF"/>
        </w:rPr>
        <w:t xml:space="preserve">er </w:t>
      </w:r>
      <w:r w:rsidR="0047401B" w:rsidRPr="00682F01">
        <w:rPr>
          <w:color w:val="000000" w:themeColor="text1"/>
          <w:shd w:val="clear" w:color="auto" w:fill="FFFFFF"/>
        </w:rPr>
        <w:t>analysis</w:t>
      </w:r>
      <w:r w:rsidR="007302D1" w:rsidRPr="00682F01">
        <w:rPr>
          <w:color w:val="000000" w:themeColor="text1"/>
          <w:shd w:val="clear" w:color="auto" w:fill="FFFFFF"/>
        </w:rPr>
        <w:t xml:space="preserve"> of this dataset,</w:t>
      </w:r>
      <w:r w:rsidR="0047401B" w:rsidRPr="00682F01">
        <w:rPr>
          <w:color w:val="000000" w:themeColor="text1"/>
          <w:shd w:val="clear" w:color="auto" w:fill="FFFFFF"/>
        </w:rPr>
        <w:t xml:space="preserve"> we identified some issues that would require </w:t>
      </w:r>
      <w:r w:rsidR="00945FD9" w:rsidRPr="00682F01">
        <w:rPr>
          <w:color w:val="000000" w:themeColor="text1"/>
          <w:shd w:val="clear" w:color="auto" w:fill="FFFFFF"/>
        </w:rPr>
        <w:t xml:space="preserve">deeper </w:t>
      </w:r>
      <w:r w:rsidR="0047401B" w:rsidRPr="00682F01">
        <w:rPr>
          <w:color w:val="000000" w:themeColor="text1"/>
          <w:shd w:val="clear" w:color="auto" w:fill="FFFFFF"/>
        </w:rPr>
        <w:t xml:space="preserve">cleaning </w:t>
      </w:r>
      <w:r w:rsidR="007302D1" w:rsidRPr="00682F01">
        <w:rPr>
          <w:color w:val="000000" w:themeColor="text1"/>
          <w:shd w:val="clear" w:color="auto" w:fill="FFFFFF"/>
        </w:rPr>
        <w:t>and formatting:</w:t>
      </w:r>
    </w:p>
    <w:p w14:paraId="405FC59B" w14:textId="1C69AF38" w:rsidR="00253E27" w:rsidRPr="00AA660E" w:rsidRDefault="00253E27" w:rsidP="00E3115B">
      <w:pPr>
        <w:numPr>
          <w:ilvl w:val="0"/>
          <w:numId w:val="5"/>
        </w:numPr>
        <w:spacing w:before="100" w:beforeAutospacing="1" w:after="120"/>
        <w:rPr>
          <w:color w:val="000000" w:themeColor="text1"/>
        </w:rPr>
      </w:pPr>
      <w:r w:rsidRPr="00253E27">
        <w:t>Country name</w:t>
      </w:r>
      <w:r w:rsidRPr="000B4AEA">
        <w:t xml:space="preserve"> variants </w:t>
      </w:r>
      <w:r w:rsidRPr="00253E27">
        <w:t xml:space="preserve">(e.g., “United States”, “United States of America”, “U.S.A.”, </w:t>
      </w:r>
      <w:r w:rsidRPr="00AA660E">
        <w:rPr>
          <w:color w:val="000000" w:themeColor="text1"/>
        </w:rPr>
        <w:t xml:space="preserve">“PRC”, “People’s Republic of China”) </w:t>
      </w:r>
      <w:r w:rsidR="00945FD9" w:rsidRPr="00AA660E">
        <w:rPr>
          <w:color w:val="000000" w:themeColor="text1"/>
        </w:rPr>
        <w:t>[</w:t>
      </w:r>
      <w:r w:rsidRPr="00AA660E">
        <w:rPr>
          <w:color w:val="000000" w:themeColor="text1"/>
        </w:rPr>
        <w:t xml:space="preserve">must normalize </w:t>
      </w:r>
      <w:r w:rsidR="00E3115B" w:rsidRPr="00AA660E">
        <w:rPr>
          <w:color w:val="000000" w:themeColor="text1"/>
        </w:rPr>
        <w:t xml:space="preserve">names </w:t>
      </w:r>
      <w:r w:rsidRPr="00AA660E">
        <w:rPr>
          <w:color w:val="000000" w:themeColor="text1"/>
        </w:rPr>
        <w:t>before filtering</w:t>
      </w:r>
      <w:r w:rsidR="00945FD9" w:rsidRPr="00AA660E">
        <w:rPr>
          <w:color w:val="000000" w:themeColor="text1"/>
        </w:rPr>
        <w:t xml:space="preserve"> by country]</w:t>
      </w:r>
    </w:p>
    <w:p w14:paraId="352C932A" w14:textId="374DF1FC" w:rsidR="00253E27" w:rsidRPr="00AA660E" w:rsidRDefault="00253E27" w:rsidP="00E3115B">
      <w:pPr>
        <w:numPr>
          <w:ilvl w:val="0"/>
          <w:numId w:val="5"/>
        </w:numPr>
        <w:spacing w:before="100" w:beforeAutospacing="1" w:after="120"/>
        <w:rPr>
          <w:color w:val="000000" w:themeColor="text1"/>
        </w:rPr>
      </w:pPr>
      <w:r w:rsidRPr="00AA660E">
        <w:rPr>
          <w:color w:val="000000" w:themeColor="text1"/>
        </w:rPr>
        <w:t xml:space="preserve">Weapons descriptions are inconsistent </w:t>
      </w:r>
      <w:r w:rsidR="00945FD9" w:rsidRPr="00AA660E">
        <w:rPr>
          <w:color w:val="000000" w:themeColor="text1"/>
        </w:rPr>
        <w:t>[</w:t>
      </w:r>
      <w:r w:rsidRPr="00AA660E">
        <w:rPr>
          <w:color w:val="000000" w:themeColor="text1"/>
        </w:rPr>
        <w:t>need mapping to convert raw descriptions into</w:t>
      </w:r>
      <w:r w:rsidR="00E3115B" w:rsidRPr="00AA660E">
        <w:rPr>
          <w:color w:val="000000" w:themeColor="text1"/>
        </w:rPr>
        <w:t xml:space="preserve"> broad </w:t>
      </w:r>
      <w:r w:rsidRPr="00AA660E">
        <w:rPr>
          <w:color w:val="000000" w:themeColor="text1"/>
        </w:rPr>
        <w:t>categories like Aircraft, Ships, Missiles, Armored vehicles, Sensors, Artillery, Parts, Other.</w:t>
      </w:r>
      <w:r w:rsidR="00945FD9" w:rsidRPr="00AA660E">
        <w:rPr>
          <w:color w:val="000000" w:themeColor="text1"/>
        </w:rPr>
        <w:t>]</w:t>
      </w:r>
    </w:p>
    <w:p w14:paraId="799DD853" w14:textId="1DDE92B8" w:rsidR="00E3115B" w:rsidRPr="00AA660E" w:rsidRDefault="00253E27" w:rsidP="00E3115B">
      <w:pPr>
        <w:numPr>
          <w:ilvl w:val="0"/>
          <w:numId w:val="5"/>
        </w:numPr>
        <w:spacing w:before="100" w:beforeAutospacing="1" w:after="120"/>
        <w:rPr>
          <w:color w:val="000000" w:themeColor="text1"/>
        </w:rPr>
      </w:pPr>
      <w:r w:rsidRPr="00AA660E">
        <w:rPr>
          <w:color w:val="000000" w:themeColor="text1"/>
        </w:rPr>
        <w:t>SIPRI encoding:</w:t>
      </w:r>
      <w:r w:rsidR="00E3115B" w:rsidRPr="00AA660E">
        <w:rPr>
          <w:color w:val="000000" w:themeColor="text1"/>
        </w:rPr>
        <w:t xml:space="preserve"> </w:t>
      </w:r>
      <w:r w:rsidRPr="00AA660E">
        <w:rPr>
          <w:color w:val="000000" w:themeColor="text1"/>
        </w:rPr>
        <w:t>0 vs</w:t>
      </w:r>
      <w:r w:rsidR="00E3115B" w:rsidRPr="00AA660E">
        <w:rPr>
          <w:color w:val="000000" w:themeColor="text1"/>
        </w:rPr>
        <w:t>.</w:t>
      </w:r>
      <w:r w:rsidRPr="00AA660E">
        <w:rPr>
          <w:color w:val="000000" w:themeColor="text1"/>
        </w:rPr>
        <w:t xml:space="preserve"> empty</w:t>
      </w:r>
      <w:r w:rsidR="00E3115B" w:rsidRPr="00AA660E">
        <w:rPr>
          <w:color w:val="000000" w:themeColor="text1"/>
        </w:rPr>
        <w:t>.</w:t>
      </w:r>
      <w:r w:rsidRPr="00AA660E">
        <w:rPr>
          <w:color w:val="000000" w:themeColor="text1"/>
        </w:rPr>
        <w:t xml:space="preserve"> </w:t>
      </w:r>
      <w:proofErr w:type="gramStart"/>
      <w:r w:rsidRPr="00AA660E">
        <w:rPr>
          <w:color w:val="000000" w:themeColor="text1"/>
        </w:rPr>
        <w:t>vs ?</w:t>
      </w:r>
      <w:proofErr w:type="gramEnd"/>
      <w:r w:rsidR="00945FD9" w:rsidRPr="00AA660E">
        <w:rPr>
          <w:color w:val="000000" w:themeColor="text1"/>
        </w:rPr>
        <w:t xml:space="preserve"> [</w:t>
      </w:r>
      <w:r w:rsidR="00945FD9" w:rsidRPr="00AA660E">
        <w:rPr>
          <w:color w:val="000000" w:themeColor="text1"/>
        </w:rPr>
        <w:t xml:space="preserve">process 0 as an observed zero, exclude the empties </w:t>
      </w:r>
      <w:proofErr w:type="gramStart"/>
      <w:r w:rsidR="00945FD9" w:rsidRPr="00AA660E">
        <w:rPr>
          <w:color w:val="000000" w:themeColor="text1"/>
        </w:rPr>
        <w:t>and ?s</w:t>
      </w:r>
      <w:proofErr w:type="gramEnd"/>
      <w:r w:rsidR="00945FD9" w:rsidRPr="00AA660E">
        <w:rPr>
          <w:color w:val="000000" w:themeColor="text1"/>
        </w:rPr>
        <w:t>]</w:t>
      </w:r>
    </w:p>
    <w:p w14:paraId="7453A6C5" w14:textId="77777777" w:rsidR="00E3115B" w:rsidRPr="000B4AEA" w:rsidRDefault="00253E27" w:rsidP="00E3115B">
      <w:pPr>
        <w:numPr>
          <w:ilvl w:val="1"/>
          <w:numId w:val="5"/>
        </w:numPr>
        <w:spacing w:before="100" w:beforeAutospacing="1" w:after="120"/>
      </w:pPr>
      <w:r w:rsidRPr="00253E27">
        <w:t xml:space="preserve">uses 0 for </w:t>
      </w:r>
      <w:r w:rsidRPr="00253E27">
        <w:rPr>
          <w:i/>
          <w:iCs/>
        </w:rPr>
        <w:t>identified deliveries that had zero TIV</w:t>
      </w:r>
    </w:p>
    <w:p w14:paraId="2D1B0CD9" w14:textId="3F960763" w:rsidR="00E3115B" w:rsidRPr="000B4AEA" w:rsidRDefault="00253E27" w:rsidP="00E3115B">
      <w:pPr>
        <w:numPr>
          <w:ilvl w:val="1"/>
          <w:numId w:val="5"/>
        </w:numPr>
        <w:spacing w:before="100" w:beforeAutospacing="1" w:after="120"/>
      </w:pPr>
      <w:r w:rsidRPr="00253E27">
        <w:t xml:space="preserve">empty fields to indicate </w:t>
      </w:r>
      <w:r w:rsidRPr="00253E27">
        <w:rPr>
          <w:i/>
          <w:iCs/>
        </w:rPr>
        <w:t>no deliveries identified / data not available</w:t>
      </w:r>
    </w:p>
    <w:p w14:paraId="01BAF7E9" w14:textId="7B78EB18" w:rsidR="00D47092" w:rsidRPr="000B4AEA" w:rsidRDefault="00253E27" w:rsidP="00AA660E">
      <w:pPr>
        <w:numPr>
          <w:ilvl w:val="1"/>
          <w:numId w:val="5"/>
        </w:numPr>
        <w:spacing w:before="100" w:beforeAutospacing="1" w:after="120"/>
      </w:pPr>
      <w:r w:rsidRPr="00253E27">
        <w:t xml:space="preserve">uncertain numbers </w:t>
      </w:r>
      <w:proofErr w:type="gramStart"/>
      <w:r w:rsidRPr="00253E27">
        <w:t>with ?</w:t>
      </w:r>
      <w:proofErr w:type="gramEnd"/>
      <w:r w:rsidRPr="000B4AEA">
        <w:t xml:space="preserve"> </w:t>
      </w:r>
    </w:p>
    <w:p w14:paraId="7D387241" w14:textId="3533D95E" w:rsidR="00D47092" w:rsidRPr="00C02AB0" w:rsidRDefault="00D47092" w:rsidP="00AA660E">
      <w:pPr>
        <w:pStyle w:val="p1"/>
        <w:spacing w:after="120" w:afterAutospacing="0"/>
        <w:rPr>
          <w:b/>
          <w:bCs/>
          <w:color w:val="196B24" w:themeColor="accent3"/>
        </w:rPr>
      </w:pPr>
      <w:r w:rsidRPr="00C02AB0">
        <w:rPr>
          <w:b/>
          <w:bCs/>
          <w:color w:val="196B24" w:themeColor="accent3"/>
        </w:rPr>
        <w:t>Exploratory Data Analysis</w:t>
      </w:r>
      <w:r w:rsidRPr="00C02AB0">
        <w:rPr>
          <w:b/>
          <w:bCs/>
          <w:color w:val="196B24" w:themeColor="accent3"/>
        </w:rPr>
        <w:t xml:space="preserve"> [Jeffrey]</w:t>
      </w:r>
      <w:r w:rsidR="00AA660E">
        <w:rPr>
          <w:b/>
          <w:bCs/>
          <w:color w:val="EE0000"/>
        </w:rPr>
        <w:t>..</w:t>
      </w:r>
      <w:r w:rsidR="00AA660E" w:rsidRPr="00AA660E">
        <w:rPr>
          <w:b/>
          <w:bCs/>
          <w:color w:val="EE0000"/>
        </w:rPr>
        <w:t>. Need to clean this up</w:t>
      </w:r>
    </w:p>
    <w:p w14:paraId="79841BAD" w14:textId="00C531E6" w:rsidR="00D47092" w:rsidRPr="00682F01" w:rsidRDefault="00682F01" w:rsidP="00682F01">
      <w:pPr>
        <w:rPr>
          <w:color w:val="EE0000"/>
        </w:rPr>
      </w:pPr>
      <w:r w:rsidRPr="00682F01">
        <w:rPr>
          <w:color w:val="EE0000"/>
        </w:rPr>
        <w:t xml:space="preserve">[insert chart images here </w:t>
      </w:r>
      <w:r>
        <w:rPr>
          <w:color w:val="EE0000"/>
        </w:rPr>
        <w:t>from notebook with their respective comments]</w:t>
      </w:r>
    </w:p>
    <w:p w14:paraId="54A6B17E" w14:textId="77777777" w:rsidR="00682F01" w:rsidRPr="00682F01" w:rsidRDefault="00682F01" w:rsidP="00682F01">
      <w:pPr>
        <w:rPr>
          <w:color w:val="196B24" w:themeColor="accent3"/>
        </w:rPr>
      </w:pPr>
    </w:p>
    <w:p w14:paraId="5C26A39F" w14:textId="77777777" w:rsidR="00D47092" w:rsidRPr="00D47092" w:rsidRDefault="00D47092" w:rsidP="00D47092">
      <w:pPr>
        <w:pStyle w:val="NormalWeb"/>
        <w:numPr>
          <w:ilvl w:val="0"/>
          <w:numId w:val="5"/>
        </w:numPr>
        <w:spacing w:before="0" w:beforeAutospacing="0" w:after="120" w:afterAutospacing="0"/>
        <w:rPr>
          <w:color w:val="196B24" w:themeColor="accent3"/>
        </w:rPr>
      </w:pPr>
      <w:r w:rsidRPr="00D47092">
        <w:rPr>
          <w:color w:val="196B24" w:themeColor="accent3"/>
        </w:rPr>
        <w:t xml:space="preserve">Given that the SIPRI Arms Transfers Database contains information on all transfers of major conventional arms, the phenomenon our group is interested in exploring are patterns in international arms transfers, specifically modeling how weapons flow from country to country. The sale, transfer, and flow of weapons </w:t>
      </w:r>
      <w:proofErr w:type="gramStart"/>
      <w:r w:rsidRPr="00D47092">
        <w:rPr>
          <w:color w:val="196B24" w:themeColor="accent3"/>
        </w:rPr>
        <w:t>represents</w:t>
      </w:r>
      <w:proofErr w:type="gramEnd"/>
      <w:r w:rsidRPr="00D47092">
        <w:rPr>
          <w:color w:val="196B24" w:themeColor="accent3"/>
        </w:rPr>
        <w:t xml:space="preserve"> more than just a one-off relationship between two countries looking to make a deal. These transactions often act as part of a larger network of international trade, rooted in the politics, international relations, and global security of the world. As the data base covers these </w:t>
      </w:r>
      <w:r w:rsidRPr="00D47092">
        <w:rPr>
          <w:color w:val="196B24" w:themeColor="accent3"/>
        </w:rPr>
        <w:lastRenderedPageBreak/>
        <w:t xml:space="preserve">transactions since 1950, the world today represents a </w:t>
      </w:r>
      <w:proofErr w:type="spellStart"/>
      <w:r w:rsidRPr="00D47092">
        <w:rPr>
          <w:color w:val="196B24" w:themeColor="accent3"/>
        </w:rPr>
        <w:t>compeltely</w:t>
      </w:r>
      <w:proofErr w:type="spellEnd"/>
      <w:r w:rsidRPr="00D47092">
        <w:rPr>
          <w:color w:val="196B24" w:themeColor="accent3"/>
        </w:rPr>
        <w:t xml:space="preserve"> different place than the one people experienced just a mere 75 years ago. These sales are often used as catalysts and projections of major geopolitical influence, and as a result, our group will look to use features in the data itself to explore topics like changes in political influence such as the height of the Cold War and subsequent fall of the Soviet Union in the early 1990s, Middle East conflicts of the 2000s, and even the rise of Chinese influence in Southeast Asia and the rest of the world over the last 10-15 years. They are</w:t>
      </w:r>
      <w:proofErr w:type="gramStart"/>
      <w:r w:rsidRPr="00D47092">
        <w:rPr>
          <w:color w:val="196B24" w:themeColor="accent3"/>
        </w:rPr>
        <w:t>, more or less, representative</w:t>
      </w:r>
      <w:proofErr w:type="gramEnd"/>
      <w:r w:rsidRPr="00D47092">
        <w:rPr>
          <w:color w:val="196B24" w:themeColor="accent3"/>
        </w:rPr>
        <w:t xml:space="preserve"> of strategic chokepoints (Panama Canal, Suez Canal through Egypt, Strait of Malacca) that concentrate global maritime traffic and therefore represent outsized economic and strategic value. States with influence there can affect critical geopolitical levers like shipping security, maritime access, and logistical lines. Interstate competition includes nations using arms transfers (sales, leases, assistance) as part of a broader influence strategy to obtain relative political advantage (basing rights, port access, UN voting alignment, etc.). To best understand these impacts, our group decided to conduct some exploratory data analysis before building any non-parametric models.</w:t>
      </w:r>
    </w:p>
    <w:p w14:paraId="515FFAA1" w14:textId="77777777" w:rsidR="00D47092" w:rsidRPr="00D47092" w:rsidRDefault="00D47092" w:rsidP="00D47092">
      <w:pPr>
        <w:pStyle w:val="NormalWeb"/>
        <w:numPr>
          <w:ilvl w:val="0"/>
          <w:numId w:val="5"/>
        </w:numPr>
        <w:spacing w:before="0" w:beforeAutospacing="0" w:after="120" w:afterAutospacing="0"/>
        <w:rPr>
          <w:color w:val="196B24" w:themeColor="accent3"/>
        </w:rPr>
      </w:pPr>
      <w:r w:rsidRPr="00D47092">
        <w:rPr>
          <w:color w:val="196B24" w:themeColor="accent3"/>
        </w:rPr>
        <w:t>First, our group found it important to truly understand who was really in charge of these transfers, most notably which countries were responsible for the most arms transfers, as well as where those transfers went.</w:t>
      </w:r>
    </w:p>
    <w:p w14:paraId="3BA857A5" w14:textId="4DAAAA82" w:rsidR="00D47092" w:rsidRPr="00D47092" w:rsidRDefault="00D47092" w:rsidP="00D47092">
      <w:pPr>
        <w:pStyle w:val="p1"/>
        <w:numPr>
          <w:ilvl w:val="0"/>
          <w:numId w:val="5"/>
        </w:numPr>
        <w:spacing w:after="120" w:afterAutospacing="0"/>
        <w:rPr>
          <w:color w:val="196B24" w:themeColor="accent3"/>
          <w:shd w:val="clear" w:color="auto" w:fill="FFFFFF"/>
        </w:rPr>
      </w:pPr>
      <w:r w:rsidRPr="00D47092">
        <w:rPr>
          <w:color w:val="196B24" w:themeColor="accent3"/>
          <w:shd w:val="clear" w:color="auto" w:fill="FFFFFF"/>
        </w:rPr>
        <w:t xml:space="preserve">Looking at the distribution of total arms exports by country, </w:t>
      </w:r>
      <w:proofErr w:type="gramStart"/>
      <w:r w:rsidRPr="00D47092">
        <w:rPr>
          <w:color w:val="196B24" w:themeColor="accent3"/>
          <w:shd w:val="clear" w:color="auto" w:fill="FFFFFF"/>
        </w:rPr>
        <w:t>it is clear that countries</w:t>
      </w:r>
      <w:proofErr w:type="gramEnd"/>
      <w:r w:rsidRPr="00D47092">
        <w:rPr>
          <w:color w:val="196B24" w:themeColor="accent3"/>
          <w:shd w:val="clear" w:color="auto" w:fill="FFFFFF"/>
        </w:rPr>
        <w:t xml:space="preserve"> like the United States, Soviet Union, and western European power dominates the </w:t>
      </w:r>
      <w:proofErr w:type="spellStart"/>
      <w:r w:rsidRPr="00D47092">
        <w:rPr>
          <w:color w:val="196B24" w:themeColor="accent3"/>
          <w:shd w:val="clear" w:color="auto" w:fill="FFFFFF"/>
        </w:rPr>
        <w:t>faciliation</w:t>
      </w:r>
      <w:proofErr w:type="spellEnd"/>
      <w:r w:rsidRPr="00D47092">
        <w:rPr>
          <w:color w:val="196B24" w:themeColor="accent3"/>
          <w:shd w:val="clear" w:color="auto" w:fill="FFFFFF"/>
        </w:rPr>
        <w:t xml:space="preserve"> of arms to other countries. The United States alone, comprises ~ 30% of all arms exports, while the Soviet Union, United Kingdom, and France all individually account for more than 5% themselves. But to understand the bigger picture, and derive the geopolitical context of these transfers, it is just as important to understand to analyze where these weapons went and when they did to see how the world has changed over the last 75 years.</w:t>
      </w:r>
    </w:p>
    <w:p w14:paraId="44371E39" w14:textId="77777777" w:rsidR="00D47092" w:rsidRPr="00D47092" w:rsidRDefault="00D47092" w:rsidP="00D47092">
      <w:pPr>
        <w:pStyle w:val="p1"/>
        <w:numPr>
          <w:ilvl w:val="0"/>
          <w:numId w:val="5"/>
        </w:numPr>
        <w:spacing w:after="120" w:afterAutospacing="0"/>
        <w:rPr>
          <w:color w:val="196B24" w:themeColor="accent3"/>
          <w:shd w:val="clear" w:color="auto" w:fill="FFFFFF"/>
        </w:rPr>
      </w:pPr>
      <w:r w:rsidRPr="00D47092">
        <w:rPr>
          <w:color w:val="196B24" w:themeColor="accent3"/>
          <w:shd w:val="clear" w:color="auto" w:fill="FFFFFF"/>
        </w:rPr>
        <w:t xml:space="preserve">Looking at the countries that have received the most weapons transfers, several countries with known significant conflicts stand out immediately. Areas like Egypt in its </w:t>
      </w:r>
      <w:proofErr w:type="spellStart"/>
      <w:r w:rsidRPr="00D47092">
        <w:rPr>
          <w:color w:val="196B24" w:themeColor="accent3"/>
          <w:shd w:val="clear" w:color="auto" w:fill="FFFFFF"/>
        </w:rPr>
        <w:t>conflifcts</w:t>
      </w:r>
      <w:proofErr w:type="spellEnd"/>
      <w:r w:rsidRPr="00D47092">
        <w:rPr>
          <w:color w:val="196B24" w:themeColor="accent3"/>
          <w:shd w:val="clear" w:color="auto" w:fill="FFFFFF"/>
        </w:rPr>
        <w:t xml:space="preserve"> with the </w:t>
      </w:r>
      <w:proofErr w:type="gramStart"/>
      <w:r w:rsidRPr="00D47092">
        <w:rPr>
          <w:color w:val="196B24" w:themeColor="accent3"/>
          <w:shd w:val="clear" w:color="auto" w:fill="FFFFFF"/>
        </w:rPr>
        <w:t>Arab-Israeli</w:t>
      </w:r>
      <w:proofErr w:type="gramEnd"/>
      <w:r w:rsidRPr="00D47092">
        <w:rPr>
          <w:color w:val="196B24" w:themeColor="accent3"/>
          <w:shd w:val="clear" w:color="auto" w:fill="FFFFFF"/>
        </w:rPr>
        <w:t xml:space="preserve"> Wars, Iraq with the conflicts in the Middle East of the 2000s, and more recently, the Russian </w:t>
      </w:r>
      <w:proofErr w:type="spellStart"/>
      <w:r w:rsidRPr="00D47092">
        <w:rPr>
          <w:color w:val="196B24" w:themeColor="accent3"/>
          <w:shd w:val="clear" w:color="auto" w:fill="FFFFFF"/>
        </w:rPr>
        <w:t>invasian</w:t>
      </w:r>
      <w:proofErr w:type="spellEnd"/>
      <w:r w:rsidRPr="00D47092">
        <w:rPr>
          <w:color w:val="196B24" w:themeColor="accent3"/>
          <w:shd w:val="clear" w:color="auto" w:fill="FFFFFF"/>
        </w:rPr>
        <w:t xml:space="preserve"> of Ukraine highlight the geopolitical significance of these transfers. However, to understand where and why these transfers happened, it would be even more important to understand and connect where the countries with top importers sent their weapons to highlight any relevant geopolitical alliances, as well as when these conflicts happened </w:t>
      </w:r>
      <w:proofErr w:type="gramStart"/>
      <w:r w:rsidRPr="00D47092">
        <w:rPr>
          <w:color w:val="196B24" w:themeColor="accent3"/>
          <w:shd w:val="clear" w:color="auto" w:fill="FFFFFF"/>
        </w:rPr>
        <w:t>in order to</w:t>
      </w:r>
      <w:proofErr w:type="gramEnd"/>
      <w:r w:rsidRPr="00D47092">
        <w:rPr>
          <w:color w:val="196B24" w:themeColor="accent3"/>
          <w:shd w:val="clear" w:color="auto" w:fill="FFFFFF"/>
        </w:rPr>
        <w:t xml:space="preserve"> understand their historical significance.</w:t>
      </w:r>
    </w:p>
    <w:p w14:paraId="118F3CEA" w14:textId="77777777" w:rsidR="00D47092" w:rsidRPr="00D47092" w:rsidRDefault="00D47092" w:rsidP="00D47092">
      <w:pPr>
        <w:pStyle w:val="p1"/>
        <w:numPr>
          <w:ilvl w:val="0"/>
          <w:numId w:val="5"/>
        </w:numPr>
        <w:spacing w:after="120" w:afterAutospacing="0"/>
        <w:rPr>
          <w:color w:val="196B24" w:themeColor="accent3"/>
        </w:rPr>
      </w:pPr>
      <w:r w:rsidRPr="00D47092">
        <w:rPr>
          <w:color w:val="196B24" w:themeColor="accent3"/>
          <w:shd w:val="clear" w:color="auto" w:fill="FFFFFF"/>
        </w:rPr>
        <w:t xml:space="preserve">Looking specifically at the countries that exported the most, and identifying the </w:t>
      </w:r>
      <w:proofErr w:type="spellStart"/>
      <w:r w:rsidRPr="00D47092">
        <w:rPr>
          <w:color w:val="196B24" w:themeColor="accent3"/>
          <w:shd w:val="clear" w:color="auto" w:fill="FFFFFF"/>
        </w:rPr>
        <w:t>receipients</w:t>
      </w:r>
      <w:proofErr w:type="spellEnd"/>
      <w:r w:rsidRPr="00D47092">
        <w:rPr>
          <w:color w:val="196B24" w:themeColor="accent3"/>
          <w:shd w:val="clear" w:color="auto" w:fill="FFFFFF"/>
        </w:rPr>
        <w:t xml:space="preserve"> of these weapons, it begins to become abundantly clear that the top recipients of arms transfers represent political alliances, and stances on some of the largest political conflicts the world has seen in the past and today. For example, the United States has been known to have some of its closest allies in South Korea and Japan, most notably in large part due to the presence of states like Russia and North Korea, which have posed significant threats, especially in its nuclear weapons program. Other countries, like Taiwan and Israel, represent key American stances in tensions in Southeast Asia and in the Middle East, much of which can be attributed to the rise of Chinese influence in the South China sea and the presence of a key American ally in the Middle East surrounded by Arab states. </w:t>
      </w:r>
      <w:proofErr w:type="spellStart"/>
      <w:r w:rsidRPr="00D47092">
        <w:rPr>
          <w:color w:val="196B24" w:themeColor="accent3"/>
          <w:shd w:val="clear" w:color="auto" w:fill="FFFFFF"/>
        </w:rPr>
        <w:t>Similary</w:t>
      </w:r>
      <w:proofErr w:type="spellEnd"/>
      <w:r w:rsidRPr="00D47092">
        <w:rPr>
          <w:color w:val="196B24" w:themeColor="accent3"/>
          <w:shd w:val="clear" w:color="auto" w:fill="FFFFFF"/>
        </w:rPr>
        <w:t xml:space="preserve"> for the Soviet Union, many of its weapons transfers destinations </w:t>
      </w:r>
      <w:r w:rsidRPr="00D47092">
        <w:rPr>
          <w:color w:val="196B24" w:themeColor="accent3"/>
          <w:shd w:val="clear" w:color="auto" w:fill="FFFFFF"/>
        </w:rPr>
        <w:lastRenderedPageBreak/>
        <w:t>represent opposing alliances to the United States, pointing to areas like East Germany and Syria as an extension of its desire to expand its military presence and influence beyond its own borders.</w:t>
      </w:r>
    </w:p>
    <w:p w14:paraId="67F4356C" w14:textId="77777777" w:rsidR="00D47092" w:rsidRPr="00D47092" w:rsidRDefault="00D47092" w:rsidP="00D47092">
      <w:pPr>
        <w:pStyle w:val="NormalWeb"/>
        <w:numPr>
          <w:ilvl w:val="0"/>
          <w:numId w:val="5"/>
        </w:numPr>
        <w:spacing w:before="0" w:beforeAutospacing="0" w:after="240" w:afterAutospacing="0"/>
        <w:rPr>
          <w:color w:val="196B24" w:themeColor="accent3"/>
        </w:rPr>
      </w:pPr>
      <w:r w:rsidRPr="00D47092">
        <w:rPr>
          <w:color w:val="196B24" w:themeColor="accent3"/>
        </w:rPr>
        <w:t xml:space="preserve">However, it is worth noting that while countries like the United States and Soviet Union </w:t>
      </w:r>
      <w:proofErr w:type="gramStart"/>
      <w:r w:rsidRPr="00D47092">
        <w:rPr>
          <w:color w:val="196B24" w:themeColor="accent3"/>
        </w:rPr>
        <w:t>definitely had</w:t>
      </w:r>
      <w:proofErr w:type="gramEnd"/>
      <w:r w:rsidRPr="00D47092">
        <w:rPr>
          <w:color w:val="196B24" w:themeColor="accent3"/>
        </w:rPr>
        <w:t xml:space="preserve"> trade partners that came up more often than others due to alliances, it is worth understanding </w:t>
      </w:r>
      <w:proofErr w:type="spellStart"/>
      <w:r w:rsidRPr="00D47092">
        <w:rPr>
          <w:color w:val="196B24" w:themeColor="accent3"/>
        </w:rPr>
        <w:t>understanding</w:t>
      </w:r>
      <w:proofErr w:type="spellEnd"/>
      <w:r w:rsidRPr="00D47092">
        <w:rPr>
          <w:color w:val="196B24" w:themeColor="accent3"/>
        </w:rPr>
        <w:t xml:space="preserve"> the total distribution within each country itself. For example, although the United States has over 9,000 transfers, there are 177 unique recipients, with a relatively wide distribution of weapons transfers across many destinations. As the top five recipients of weapons only comprise 18% of all transfers from the United States, </w:t>
      </w:r>
      <w:proofErr w:type="gramStart"/>
      <w:r w:rsidRPr="00D47092">
        <w:rPr>
          <w:color w:val="196B24" w:themeColor="accent3"/>
        </w:rPr>
        <w:t>it is clear that the</w:t>
      </w:r>
      <w:proofErr w:type="gramEnd"/>
      <w:r w:rsidRPr="00D47092">
        <w:rPr>
          <w:color w:val="196B24" w:themeColor="accent3"/>
        </w:rPr>
        <w:t xml:space="preserve"> United States is not only involved </w:t>
      </w:r>
      <w:proofErr w:type="gramStart"/>
      <w:r w:rsidRPr="00D47092">
        <w:rPr>
          <w:color w:val="196B24" w:themeColor="accent3"/>
        </w:rPr>
        <w:t>all across</w:t>
      </w:r>
      <w:proofErr w:type="gramEnd"/>
      <w:r w:rsidRPr="00D47092">
        <w:rPr>
          <w:color w:val="196B24" w:themeColor="accent3"/>
        </w:rPr>
        <w:t xml:space="preserve"> the planet, but our group recognizes that as we look to project supplier-recipient forecasts, that there is a significant amount of variance in the arms trade.</w:t>
      </w:r>
    </w:p>
    <w:p w14:paraId="1EB264FA" w14:textId="77777777" w:rsidR="00D47092" w:rsidRPr="00D47092" w:rsidRDefault="00D47092" w:rsidP="00D47092">
      <w:pPr>
        <w:pStyle w:val="NormalWeb"/>
        <w:numPr>
          <w:ilvl w:val="0"/>
          <w:numId w:val="5"/>
        </w:numPr>
        <w:spacing w:before="0" w:beforeAutospacing="0" w:after="120" w:afterAutospacing="0"/>
        <w:rPr>
          <w:color w:val="196B24" w:themeColor="accent3"/>
        </w:rPr>
      </w:pPr>
      <w:r w:rsidRPr="00D47092">
        <w:rPr>
          <w:color w:val="196B24" w:themeColor="accent3"/>
        </w:rPr>
        <w:t xml:space="preserve">Finally, the group found it important to place the context of these weapons transfers in the time that they </w:t>
      </w:r>
      <w:proofErr w:type="spellStart"/>
      <w:r w:rsidRPr="00D47092">
        <w:rPr>
          <w:color w:val="196B24" w:themeColor="accent3"/>
        </w:rPr>
        <w:t>occured</w:t>
      </w:r>
      <w:proofErr w:type="spellEnd"/>
      <w:r w:rsidRPr="00D47092">
        <w:rPr>
          <w:color w:val="196B24" w:themeColor="accent3"/>
        </w:rPr>
        <w:t>. The graph below depicts the major weapons transfers overlaid with significant events in world history that significantly influenced the arms trade itself. In identifying the major world powers, looking at countries like the United States, Russia/Soviet Union, and China, as well as identifying key landmarks of the last 50-75 years, like the height of the Cold War, the fall of the Soviet Union, and rise of Chinese influence, we might best be able to project the future of the arms trade by first looking to the past.</w:t>
      </w:r>
    </w:p>
    <w:p w14:paraId="63F27574" w14:textId="4E1DF219" w:rsidR="00253E27" w:rsidRPr="00AA660E" w:rsidRDefault="00D47092" w:rsidP="00AA660E">
      <w:pPr>
        <w:pStyle w:val="NormalWeb"/>
        <w:numPr>
          <w:ilvl w:val="0"/>
          <w:numId w:val="5"/>
        </w:numPr>
        <w:spacing w:before="0" w:beforeAutospacing="0" w:after="120" w:afterAutospacing="0"/>
        <w:rPr>
          <w:color w:val="196B24" w:themeColor="accent3"/>
        </w:rPr>
      </w:pPr>
      <w:r w:rsidRPr="00D47092">
        <w:rPr>
          <w:color w:val="196B24" w:themeColor="accent3"/>
        </w:rPr>
        <w:t xml:space="preserve">It is abundantly clear </w:t>
      </w:r>
      <w:proofErr w:type="gramStart"/>
      <w:r w:rsidRPr="00D47092">
        <w:rPr>
          <w:color w:val="196B24" w:themeColor="accent3"/>
        </w:rPr>
        <w:t>from the get go</w:t>
      </w:r>
      <w:proofErr w:type="gramEnd"/>
      <w:r w:rsidRPr="00D47092">
        <w:rPr>
          <w:color w:val="196B24" w:themeColor="accent3"/>
        </w:rPr>
        <w:t xml:space="preserve">, that geopolitical tensions from the Cold War fueled the subsequent rise in major weapons transfers, especially in the 1960s and 1970s from the Vietnam </w:t>
      </w:r>
      <w:proofErr w:type="gramStart"/>
      <w:r w:rsidRPr="00D47092">
        <w:rPr>
          <w:color w:val="196B24" w:themeColor="accent3"/>
        </w:rPr>
        <w:t>War, and</w:t>
      </w:r>
      <w:proofErr w:type="gramEnd"/>
      <w:r w:rsidRPr="00D47092">
        <w:rPr>
          <w:color w:val="196B24" w:themeColor="accent3"/>
        </w:rPr>
        <w:t xml:space="preserve"> correspondingly fell off with the fall of the Berlin Wall and the disintegration of the Soviet Union into the countries we know today. Also, the group highlighted notable increases </w:t>
      </w:r>
      <w:proofErr w:type="gramStart"/>
      <w:r w:rsidRPr="00D47092">
        <w:rPr>
          <w:color w:val="196B24" w:themeColor="accent3"/>
        </w:rPr>
        <w:t>as a result of</w:t>
      </w:r>
      <w:proofErr w:type="gramEnd"/>
      <w:r w:rsidRPr="00D47092">
        <w:rPr>
          <w:color w:val="196B24" w:themeColor="accent3"/>
        </w:rPr>
        <w:t xml:space="preserve"> the 9/11 attacks in New York City, the following War on Terror, and the rise of China as a major arms exporter and </w:t>
      </w:r>
      <w:proofErr w:type="spellStart"/>
      <w:r w:rsidRPr="00D47092">
        <w:rPr>
          <w:color w:val="196B24" w:themeColor="accent3"/>
        </w:rPr>
        <w:t>sigificant</w:t>
      </w:r>
      <w:proofErr w:type="spellEnd"/>
      <w:r w:rsidRPr="00D47092">
        <w:rPr>
          <w:color w:val="196B24" w:themeColor="accent3"/>
        </w:rPr>
        <w:t xml:space="preserve"> world player.</w:t>
      </w:r>
    </w:p>
    <w:p w14:paraId="2832C451" w14:textId="2B5E9A08" w:rsidR="00E3115B" w:rsidRPr="00AA660E" w:rsidRDefault="00AA660E" w:rsidP="00C02AB0">
      <w:pPr>
        <w:pStyle w:val="Heading1"/>
        <w:numPr>
          <w:ilvl w:val="0"/>
          <w:numId w:val="21"/>
        </w:numPr>
        <w:ind w:left="360"/>
        <w:rPr>
          <w:rFonts w:ascii="Times New Roman" w:hAnsi="Times New Roman" w:cs="Times New Roman"/>
          <w:b/>
          <w:bCs/>
          <w:color w:val="000000" w:themeColor="text1"/>
          <w:sz w:val="28"/>
          <w:szCs w:val="28"/>
          <w:u w:val="single"/>
        </w:rPr>
      </w:pPr>
      <w:r w:rsidRPr="00AA660E">
        <w:rPr>
          <w:rFonts w:ascii="Times New Roman" w:hAnsi="Times New Roman" w:cs="Times New Roman"/>
          <w:b/>
          <w:bCs/>
          <w:color w:val="000000" w:themeColor="text1"/>
          <w:sz w:val="28"/>
          <w:szCs w:val="28"/>
          <w:u w:val="single"/>
        </w:rPr>
        <w:t>P</w:t>
      </w:r>
      <w:r w:rsidR="00E3115B" w:rsidRPr="00AA660E">
        <w:rPr>
          <w:rFonts w:ascii="Times New Roman" w:hAnsi="Times New Roman" w:cs="Times New Roman"/>
          <w:b/>
          <w:bCs/>
          <w:color w:val="000000" w:themeColor="text1"/>
          <w:sz w:val="28"/>
          <w:szCs w:val="28"/>
          <w:u w:val="single"/>
        </w:rPr>
        <w:t xml:space="preserve">henomenon </w:t>
      </w:r>
      <w:r w:rsidRPr="00AA660E">
        <w:rPr>
          <w:rFonts w:ascii="Times New Roman" w:hAnsi="Times New Roman" w:cs="Times New Roman"/>
          <w:b/>
          <w:bCs/>
          <w:color w:val="000000" w:themeColor="text1"/>
          <w:sz w:val="28"/>
          <w:szCs w:val="28"/>
          <w:u w:val="single"/>
        </w:rPr>
        <w:t>to Model</w:t>
      </w:r>
    </w:p>
    <w:p w14:paraId="64FC6C7C" w14:textId="72F56EA8" w:rsidR="0035761E" w:rsidRPr="00523CA0" w:rsidRDefault="0035761E" w:rsidP="00523CA0">
      <w:pPr>
        <w:shd w:val="clear" w:color="auto" w:fill="FFFFFF"/>
        <w:ind w:left="720"/>
        <w:rPr>
          <w:rFonts w:ascii="Segoe UI" w:hAnsi="Segoe UI" w:cs="Segoe UI"/>
          <w:i/>
          <w:iCs/>
          <w:sz w:val="21"/>
          <w:szCs w:val="21"/>
        </w:rPr>
      </w:pPr>
      <w:r w:rsidRPr="0035761E">
        <w:rPr>
          <w:rFonts w:ascii="Segoe UI" w:hAnsi="Segoe UI" w:cs="Segoe UI"/>
          <w:i/>
          <w:iCs/>
          <w:sz w:val="21"/>
          <w:szCs w:val="21"/>
        </w:rPr>
        <w:t>What phenomenon are you modeling? Provide a brief background on the topic, including definitions and details that are relevant to your analysis. Clearly describe its main features, and support those claims with data where appropriate. (10/100 pts)</w:t>
      </w:r>
    </w:p>
    <w:p w14:paraId="7B60D4E6" w14:textId="5C08B590" w:rsidR="00DF0287" w:rsidRDefault="00E3115B" w:rsidP="006E2316">
      <w:pPr>
        <w:pStyle w:val="p3"/>
      </w:pPr>
      <w:r w:rsidRPr="00523CA0">
        <w:rPr>
          <w:b/>
          <w:bCs/>
          <w:highlight w:val="yellow"/>
        </w:rPr>
        <w:t>Research question</w:t>
      </w:r>
      <w:r w:rsidR="00C02AB0" w:rsidRPr="00AA660E">
        <w:rPr>
          <w:b/>
          <w:bCs/>
          <w:color w:val="EE0000"/>
        </w:rPr>
        <w:t>… need to finalize this / clean up</w:t>
      </w:r>
    </w:p>
    <w:p w14:paraId="0E6035DE" w14:textId="044602F0" w:rsidR="00DF0287" w:rsidRPr="00D47092" w:rsidRDefault="00DF0287" w:rsidP="00E3115B">
      <w:pPr>
        <w:pStyle w:val="p1"/>
        <w:ind w:left="720"/>
        <w:rPr>
          <w:color w:val="196B24" w:themeColor="accent3"/>
        </w:rPr>
      </w:pPr>
      <w:r w:rsidRPr="00D47092">
        <w:rPr>
          <w:rFonts w:ascii="Segoe UI" w:hAnsi="Segoe UI" w:cs="Segoe UI"/>
          <w:color w:val="196B24" w:themeColor="accent3"/>
          <w:sz w:val="21"/>
          <w:szCs w:val="21"/>
          <w:highlight w:val="yellow"/>
          <w:shd w:val="clear" w:color="auto" w:fill="FFFFFF"/>
        </w:rPr>
        <w:t xml:space="preserve">How does the United States going to war with other countries affect imports of countries at war before, during, and after conflict? Specifically, we will be looking information related to the time of the Vietnam War in the </w:t>
      </w:r>
      <w:proofErr w:type="gramStart"/>
      <w:r w:rsidRPr="00D47092">
        <w:rPr>
          <w:rFonts w:ascii="Segoe UI" w:hAnsi="Segoe UI" w:cs="Segoe UI"/>
          <w:color w:val="196B24" w:themeColor="accent3"/>
          <w:sz w:val="21"/>
          <w:szCs w:val="21"/>
          <w:highlight w:val="yellow"/>
          <w:shd w:val="clear" w:color="auto" w:fill="FFFFFF"/>
        </w:rPr>
        <w:t>1970s, and</w:t>
      </w:r>
      <w:proofErr w:type="gramEnd"/>
      <w:r w:rsidRPr="00D47092">
        <w:rPr>
          <w:rFonts w:ascii="Segoe UI" w:hAnsi="Segoe UI" w:cs="Segoe UI"/>
          <w:color w:val="196B24" w:themeColor="accent3"/>
          <w:sz w:val="21"/>
          <w:szCs w:val="21"/>
          <w:highlight w:val="yellow"/>
          <w:shd w:val="clear" w:color="auto" w:fill="FFFFFF"/>
        </w:rPr>
        <w:t xml:space="preserve"> making projects on the War on Terror in Afghanistan in the 2000s, and finally comparing the model results with the actual arms transfers.</w:t>
      </w:r>
    </w:p>
    <w:p w14:paraId="54877E9E" w14:textId="33416241" w:rsidR="00DF0287" w:rsidRPr="00DF0287" w:rsidRDefault="00DF0287" w:rsidP="00CC0A59">
      <w:pPr>
        <w:pStyle w:val="p3"/>
      </w:pPr>
      <w:r w:rsidRPr="000B4AEA">
        <w:rPr>
          <w:b/>
          <w:bCs/>
        </w:rPr>
        <w:t xml:space="preserve">Key assumption: </w:t>
      </w:r>
      <w:r w:rsidRPr="000B4AEA">
        <w:t xml:space="preserve">Historical delivery patterns (1950–latest year) are informative about near-term (4-year) futures. </w:t>
      </w:r>
      <w:r w:rsidRPr="000B4AEA">
        <w:rPr>
          <w:color w:val="0E0E0E"/>
        </w:rPr>
        <w:t xml:space="preserve">We can use past arms-transfer data to forecast the next few years if no </w:t>
      </w:r>
      <w:r>
        <w:rPr>
          <w:color w:val="0E0E0E"/>
        </w:rPr>
        <w:lastRenderedPageBreak/>
        <w:t xml:space="preserve">exogenous </w:t>
      </w:r>
      <w:r w:rsidRPr="000B4AEA">
        <w:t>geopolitical shocks occur (</w:t>
      </w:r>
      <w:r w:rsidRPr="000B4AEA">
        <w:rPr>
          <w:color w:val="0E0E0E"/>
        </w:rPr>
        <w:t>war, sanctions, regime change, major diplomatic realignment</w:t>
      </w:r>
      <w:r>
        <w:rPr>
          <w:color w:val="0E0E0E"/>
        </w:rPr>
        <w:t>s</w:t>
      </w:r>
      <w:r w:rsidRPr="000B4AEA">
        <w:rPr>
          <w:color w:val="0E0E0E"/>
        </w:rPr>
        <w:t>) that would drastically change who buys or sells weapons</w:t>
      </w:r>
      <w:r>
        <w:rPr>
          <w:color w:val="0E0E0E"/>
        </w:rPr>
        <w:t>.</w:t>
      </w:r>
    </w:p>
    <w:p w14:paraId="67E5E238" w14:textId="570AF848" w:rsidR="00CC0A59" w:rsidRPr="00CC0A59" w:rsidRDefault="00E3115B" w:rsidP="00CC0A59">
      <w:pPr>
        <w:pStyle w:val="p3"/>
        <w:rPr>
          <w:b/>
          <w:bCs/>
        </w:rPr>
      </w:pPr>
      <w:r w:rsidRPr="000B4AEA">
        <w:rPr>
          <w:b/>
          <w:bCs/>
        </w:rPr>
        <w:t>Context</w:t>
      </w:r>
      <w:r w:rsidR="00AA660E">
        <w:rPr>
          <w:b/>
          <w:bCs/>
        </w:rPr>
        <w:t xml:space="preserve">: </w:t>
      </w:r>
      <w:r w:rsidR="00EA5780" w:rsidRPr="00CC0A59">
        <w:t xml:space="preserve">SIPRI-relevant </w:t>
      </w:r>
      <w:r w:rsidR="00DF0287" w:rsidRPr="00CC0A59">
        <w:t>U.S. military arms</w:t>
      </w:r>
      <w:r w:rsidR="00DF0287" w:rsidRPr="00DF0287">
        <w:t xml:space="preserve"> </w:t>
      </w:r>
      <w:r w:rsidR="00DF0287" w:rsidRPr="00CC0A59">
        <w:t>support to South Vietnam</w:t>
      </w:r>
      <w:r w:rsidR="00DF0287" w:rsidRPr="00DF0287">
        <w:t xml:space="preserve"> </w:t>
      </w:r>
      <w:r w:rsidR="00DF0287">
        <w:t xml:space="preserve">grew </w:t>
      </w:r>
      <w:r w:rsidR="00EA5780" w:rsidRPr="00CC0A59">
        <w:t xml:space="preserve">from modest </w:t>
      </w:r>
      <w:r w:rsidR="00EA5780">
        <w:t>weapons</w:t>
      </w:r>
      <w:r w:rsidR="00EA5780" w:rsidRPr="00CC0A59">
        <w:t xml:space="preserve"> and </w:t>
      </w:r>
      <w:r w:rsidR="00EA5780">
        <w:t xml:space="preserve">material </w:t>
      </w:r>
      <w:r w:rsidR="00EA5780" w:rsidRPr="00CC0A59">
        <w:t xml:space="preserve">replacement supplies pre-1955, into a very large and platform-diverse conventional arms relationship during </w:t>
      </w:r>
      <w:r w:rsidR="00EA5780">
        <w:t xml:space="preserve">the Vietnam War period of </w:t>
      </w:r>
      <w:r w:rsidR="00EA5780" w:rsidRPr="00CC0A59">
        <w:t xml:space="preserve">1955–1975 (air, armor, artillery, naval craft, helicopters, ammunition, logistics). Post-1975 transfers essentially ceased until diplomatic normalization decades later. The scale and character of transfers were tightly coupled to Cold War geopolitics and shifting U.S. domestic politics </w:t>
      </w:r>
      <w:r w:rsidR="00EA5780">
        <w:t>after the Soviet Union collapsed in 1991.</w:t>
      </w:r>
    </w:p>
    <w:p w14:paraId="79247687" w14:textId="4D231CB9" w:rsidR="00CC0A59" w:rsidRPr="00CC0A59" w:rsidRDefault="00C02AB0" w:rsidP="00CC0A59">
      <w:pPr>
        <w:pStyle w:val="p3"/>
        <w:rPr>
          <w:b/>
          <w:bCs/>
        </w:rPr>
      </w:pPr>
      <w:r>
        <w:rPr>
          <w:b/>
          <w:bCs/>
        </w:rPr>
        <w:t>(</w:t>
      </w:r>
      <w:r w:rsidR="00CC0A59" w:rsidRPr="00CC0A59">
        <w:rPr>
          <w:b/>
          <w:bCs/>
        </w:rPr>
        <w:t>1) Pre</w:t>
      </w:r>
      <w:r w:rsidR="00C66848">
        <w:rPr>
          <w:b/>
          <w:bCs/>
        </w:rPr>
        <w:t>-</w:t>
      </w:r>
      <w:r w:rsidR="00CC0A59" w:rsidRPr="00CC0A59">
        <w:rPr>
          <w:b/>
          <w:bCs/>
        </w:rPr>
        <w:t>W</w:t>
      </w:r>
      <w:r w:rsidR="00CC0A59" w:rsidRPr="00CC0A59">
        <w:rPr>
          <w:b/>
          <w:bCs/>
        </w:rPr>
        <w:t>ar (prior to 1955)</w:t>
      </w:r>
    </w:p>
    <w:p w14:paraId="7BA6D91C" w14:textId="78FF368C" w:rsidR="00CC0A59" w:rsidRDefault="00CC0A59" w:rsidP="00CC0A59">
      <w:pPr>
        <w:pStyle w:val="p3"/>
        <w:ind w:left="720"/>
      </w:pPr>
      <w:r w:rsidRPr="00CC0A59">
        <w:rPr>
          <w:u w:val="single"/>
        </w:rPr>
        <w:t>What was supplied:</w:t>
      </w:r>
      <w:r w:rsidRPr="00CC0A59">
        <w:t xml:space="preserve"> the United States began subsidizing and equipping French and associated Vietnamese forces in the late 1940s and early 1950s with major conventional equipment and replacement</w:t>
      </w:r>
      <w:r>
        <w:t xml:space="preserve"> material (</w:t>
      </w:r>
      <w:r w:rsidRPr="00CC0A59">
        <w:t xml:space="preserve">small arms and ammunition, transport and utility equipment, replacement ordnance for French inventories, </w:t>
      </w:r>
      <w:r>
        <w:t xml:space="preserve">etc.) </w:t>
      </w:r>
      <w:r w:rsidRPr="00CC0A59">
        <w:t xml:space="preserve">This support was organized through the early missions to Indochina.  </w:t>
      </w:r>
    </w:p>
    <w:p w14:paraId="20CA45D4" w14:textId="3F2AA0EB" w:rsidR="00CC0A59" w:rsidRPr="00CC0A59" w:rsidRDefault="00CC0A59" w:rsidP="00CC0A59">
      <w:pPr>
        <w:pStyle w:val="p3"/>
        <w:ind w:left="720"/>
      </w:pPr>
      <w:r w:rsidRPr="00CC0A59">
        <w:rPr>
          <w:u w:val="single"/>
        </w:rPr>
        <w:t>Political context</w:t>
      </w:r>
      <w:r w:rsidRPr="00CC0A59">
        <w:t>: in the immediate post-WWII Cold War environment the U.S. prioritized stemming communist expansion in Asia. Washington’s objective was to sustain anti-communist French and associated Vietnamese forces without large direct combat commitments</w:t>
      </w:r>
      <w:r>
        <w:t xml:space="preserve"> (</w:t>
      </w:r>
      <w:r w:rsidRPr="00CC0A59">
        <w:t xml:space="preserve">initially via grants, sales, and equipment transfers routed through </w:t>
      </w:r>
      <w:r w:rsidR="00C66848">
        <w:t xml:space="preserve">the U.S. </w:t>
      </w:r>
      <w:r w:rsidRPr="00CC0A59">
        <w:t>Military Assistance Advisory Group (MAAG) structures and French authorities</w:t>
      </w:r>
      <w:r>
        <w:t>)</w:t>
      </w:r>
      <w:r w:rsidRPr="00CC0A59">
        <w:t xml:space="preserve">. The result was an early, programmatic flow of conventional materiel intended to keep anti-communist forces viable while avoiding large U.S. combat deployments.  </w:t>
      </w:r>
    </w:p>
    <w:p w14:paraId="0AE5AAC3" w14:textId="5711CEC8" w:rsidR="00CC0A59" w:rsidRPr="00CC0A59" w:rsidRDefault="00C02AB0" w:rsidP="00CC0A59">
      <w:pPr>
        <w:pStyle w:val="p3"/>
        <w:rPr>
          <w:b/>
          <w:bCs/>
        </w:rPr>
      </w:pPr>
      <w:r>
        <w:rPr>
          <w:b/>
          <w:bCs/>
        </w:rPr>
        <w:t>(</w:t>
      </w:r>
      <w:r w:rsidR="00CC0A59" w:rsidRPr="00CC0A59">
        <w:rPr>
          <w:b/>
          <w:bCs/>
        </w:rPr>
        <w:t xml:space="preserve">2) </w:t>
      </w:r>
      <w:r w:rsidR="00CC0A59" w:rsidRPr="00CC0A59">
        <w:rPr>
          <w:b/>
          <w:bCs/>
        </w:rPr>
        <w:t xml:space="preserve">Vietnam </w:t>
      </w:r>
      <w:r w:rsidR="00CC0A59" w:rsidRPr="00CC0A59">
        <w:rPr>
          <w:b/>
          <w:bCs/>
        </w:rPr>
        <w:t>War period (1955–1975)</w:t>
      </w:r>
    </w:p>
    <w:p w14:paraId="27B12E42" w14:textId="58B5E43A" w:rsidR="00CC0A59" w:rsidRPr="00CC0A59" w:rsidRDefault="00CC0A59" w:rsidP="00C66848">
      <w:pPr>
        <w:pStyle w:val="p3"/>
        <w:ind w:left="720"/>
      </w:pPr>
      <w:r w:rsidRPr="00CC0A59">
        <w:rPr>
          <w:u w:val="single"/>
        </w:rPr>
        <w:t>What was supplied</w:t>
      </w:r>
      <w:r w:rsidRPr="00CC0A59">
        <w:t xml:space="preserve">: this </w:t>
      </w:r>
      <w:r>
        <w:t>period represents the</w:t>
      </w:r>
      <w:r w:rsidRPr="00CC0A59">
        <w:t xml:space="preserve"> largest, most diversified U.S. conventional arms transfers to the Republic of Vietnam (ARVN, RVN Navy, RVN Air Force). </w:t>
      </w:r>
      <w:r w:rsidR="00C66848">
        <w:t>D</w:t>
      </w:r>
      <w:r w:rsidR="00C66848" w:rsidRPr="00CC0A59">
        <w:t xml:space="preserve">eliveries escalated after the early 1960s as the US moved from advisory to large-scale materiel support. </w:t>
      </w:r>
      <w:r w:rsidRPr="00CC0A59">
        <w:t>Major categories</w:t>
      </w:r>
      <w:r>
        <w:t xml:space="preserve"> </w:t>
      </w:r>
      <w:r w:rsidRPr="00CC0A59">
        <w:t>include:</w:t>
      </w:r>
    </w:p>
    <w:p w14:paraId="53487517" w14:textId="6D96656B" w:rsidR="00CC0A59" w:rsidRPr="00CC0A59" w:rsidRDefault="00CC0A59" w:rsidP="00C66848">
      <w:pPr>
        <w:pStyle w:val="p3"/>
        <w:numPr>
          <w:ilvl w:val="0"/>
          <w:numId w:val="18"/>
        </w:numPr>
        <w:tabs>
          <w:tab w:val="num" w:pos="1800"/>
        </w:tabs>
        <w:ind w:left="1080"/>
      </w:pPr>
      <w:r w:rsidRPr="00CC0A59">
        <w:t>Aircraft and aviation: transport and combat aircraft, a rapid build-up of helicopters (e.g., UH-1 Hueys for mobility and medevac), and fixed-wing support/attack platforms</w:t>
      </w:r>
    </w:p>
    <w:p w14:paraId="1DC0C867" w14:textId="3DBDB5CE" w:rsidR="00CC0A59" w:rsidRPr="00CC0A59" w:rsidRDefault="00CC0A59" w:rsidP="00C66848">
      <w:pPr>
        <w:pStyle w:val="p3"/>
        <w:numPr>
          <w:ilvl w:val="0"/>
          <w:numId w:val="18"/>
        </w:numPr>
        <w:tabs>
          <w:tab w:val="num" w:pos="1800"/>
        </w:tabs>
        <w:ind w:left="1080"/>
      </w:pPr>
      <w:r w:rsidRPr="00CC0A59">
        <w:t>Armored vehicles and tanks: M48 Patton tanks and a range of APCs and tracked vehicles</w:t>
      </w:r>
    </w:p>
    <w:p w14:paraId="07D4D11E" w14:textId="07AB1907" w:rsidR="00CC0A59" w:rsidRPr="00CC0A59" w:rsidRDefault="00CC0A59" w:rsidP="00C66848">
      <w:pPr>
        <w:pStyle w:val="p3"/>
        <w:numPr>
          <w:ilvl w:val="0"/>
          <w:numId w:val="18"/>
        </w:numPr>
        <w:tabs>
          <w:tab w:val="num" w:pos="1800"/>
        </w:tabs>
        <w:ind w:left="1080"/>
      </w:pPr>
      <w:r w:rsidRPr="00CC0A59">
        <w:t>Artillery and air-</w:t>
      </w:r>
      <w:r w:rsidRPr="00CC0A59">
        <w:t>defense</w:t>
      </w:r>
      <w:r w:rsidRPr="00CC0A59">
        <w:t xml:space="preserve"> equipment: towed/howitzers, fire-control and anti-air weapons systems.</w:t>
      </w:r>
    </w:p>
    <w:p w14:paraId="0A671A22" w14:textId="49EBDA6A" w:rsidR="00CC0A59" w:rsidRPr="00CC0A59" w:rsidRDefault="00CC0A59" w:rsidP="00C66848">
      <w:pPr>
        <w:pStyle w:val="p3"/>
        <w:numPr>
          <w:ilvl w:val="0"/>
          <w:numId w:val="18"/>
        </w:numPr>
        <w:tabs>
          <w:tab w:val="num" w:pos="1800"/>
        </w:tabs>
        <w:ind w:left="1080"/>
      </w:pPr>
      <w:r w:rsidRPr="00CC0A59">
        <w:t>Naval equipment: patrol boats, coastal craft and small naval platforms to build coastal interdiction and riverine capability.</w:t>
      </w:r>
    </w:p>
    <w:p w14:paraId="0FF5EA49" w14:textId="71F9B7AC" w:rsidR="00CC0A59" w:rsidRPr="00CC0A59" w:rsidRDefault="00CC0A59" w:rsidP="00CC0A59">
      <w:pPr>
        <w:pStyle w:val="p3"/>
        <w:numPr>
          <w:ilvl w:val="0"/>
          <w:numId w:val="18"/>
        </w:numPr>
        <w:tabs>
          <w:tab w:val="num" w:pos="1800"/>
        </w:tabs>
        <w:ind w:left="1080"/>
      </w:pPr>
      <w:r w:rsidRPr="00CC0A59">
        <w:t>Large quantities of ammunition, spare parts, logistics vehicles, and radar/communication</w:t>
      </w:r>
      <w:r>
        <w:t>s</w:t>
      </w:r>
    </w:p>
    <w:p w14:paraId="2128356E" w14:textId="62B04C9B" w:rsidR="00CC0A59" w:rsidRPr="00CC0A59" w:rsidRDefault="00CC0A59" w:rsidP="00C66848">
      <w:pPr>
        <w:pStyle w:val="p3"/>
        <w:ind w:left="720"/>
      </w:pPr>
      <w:r w:rsidRPr="00CC0A59">
        <w:rPr>
          <w:u w:val="single"/>
        </w:rPr>
        <w:lastRenderedPageBreak/>
        <w:t>Political context</w:t>
      </w:r>
      <w:r w:rsidRPr="00CC0A59">
        <w:t xml:space="preserve">: domestic U.S. politics and Cold War dynamics both </w:t>
      </w:r>
      <w:r w:rsidR="00C66848">
        <w:t>increased escalation in Vietnam</w:t>
      </w:r>
      <w:r w:rsidRPr="00CC0A59">
        <w:t>. The domino-theory held sway among policymakers (Eisenhower</w:t>
      </w:r>
      <w:r w:rsidR="00C66848">
        <w:t xml:space="preserve">, </w:t>
      </w:r>
      <w:r w:rsidRPr="00CC0A59">
        <w:t>Kennedy</w:t>
      </w:r>
      <w:r w:rsidR="00C66848">
        <w:t xml:space="preserve">, </w:t>
      </w:r>
      <w:r w:rsidRPr="00CC0A59">
        <w:t>Johnson), leading to progressively larger aid packages and, eventually, direct military intervention. U.S. policy moved from “training and equipping” (MAA</w:t>
      </w:r>
      <w:r w:rsidR="00C66848">
        <w:t xml:space="preserve">G </w:t>
      </w:r>
      <w:r w:rsidRPr="00CC0A59">
        <w:t>era) to full-scale material sustainment for an expanded ARVN and extensive air/sea operation</w:t>
      </w:r>
      <w:r w:rsidR="00C66848">
        <w:t>s against communist North Vietnam</w:t>
      </w:r>
      <w:r w:rsidRPr="00CC0A59">
        <w:t xml:space="preserve">. As a result, conventional-weapons transfers and replenishment (aircraft, helicopters, tanks, naval craft, artillery) formed the backbone of </w:t>
      </w:r>
      <w:r w:rsidR="00EA5780">
        <w:t xml:space="preserve">recorded </w:t>
      </w:r>
      <w:r w:rsidRPr="00CC0A59">
        <w:t>U.S. support. </w:t>
      </w:r>
      <w:r w:rsidR="00C66848" w:rsidRPr="00C66848">
        <w:t>Public opinion in the United States shifted sharply during the 1960s</w:t>
      </w:r>
      <w:r w:rsidR="00EA5780">
        <w:t>, as t</w:t>
      </w:r>
      <w:r w:rsidR="00C66848" w:rsidRPr="00C66848">
        <w:t>he growing anti-war movement and mounting U.S. casualties led to decreased domestic support for continued escalation. President Johnson, facing both the war’s unpopularity and pressure to prioritize his Great Society social programs, began de-escalating U.S. involvement.</w:t>
      </w:r>
      <w:r w:rsidR="00C66848" w:rsidRPr="00C66848">
        <w:t xml:space="preserve"> </w:t>
      </w:r>
      <w:r w:rsidR="00C66848" w:rsidRPr="00C66848">
        <w:t>After years of “Vietnamization” under President Richard Nixon</w:t>
      </w:r>
      <w:r w:rsidR="00C66848" w:rsidRPr="00C66848">
        <w:t xml:space="preserve"> (</w:t>
      </w:r>
      <w:r w:rsidR="00C66848" w:rsidRPr="00C66848">
        <w:t>a policy aimed at shifting combat responsibility to South Vietnamese force</w:t>
      </w:r>
      <w:r w:rsidR="00C66848" w:rsidRPr="00C66848">
        <w:t xml:space="preserve">s), </w:t>
      </w:r>
      <w:r w:rsidR="00C66848" w:rsidRPr="00C66848">
        <w:t>Saigon fell to North Vietna</w:t>
      </w:r>
      <w:r w:rsidR="00EA5780">
        <w:t xml:space="preserve">m </w:t>
      </w:r>
      <w:r w:rsidR="00C66848" w:rsidRPr="00C66848">
        <w:t>in April 1975</w:t>
      </w:r>
      <w:r w:rsidR="00EA5780">
        <w:t>.</w:t>
      </w:r>
    </w:p>
    <w:p w14:paraId="1E968DD0" w14:textId="6136A5DF" w:rsidR="00CC0A59" w:rsidRPr="00CC0A59" w:rsidRDefault="00C02AB0" w:rsidP="00CC0A59">
      <w:pPr>
        <w:pStyle w:val="p3"/>
        <w:rPr>
          <w:b/>
          <w:bCs/>
        </w:rPr>
      </w:pPr>
      <w:r>
        <w:rPr>
          <w:b/>
          <w:bCs/>
        </w:rPr>
        <w:t>(</w:t>
      </w:r>
      <w:r w:rsidR="00CC0A59" w:rsidRPr="00CC0A59">
        <w:rPr>
          <w:b/>
          <w:bCs/>
        </w:rPr>
        <w:t xml:space="preserve">3) Post-war (1975 </w:t>
      </w:r>
      <w:r w:rsidR="00EA5780" w:rsidRPr="00EA5780">
        <w:rPr>
          <w:b/>
          <w:bCs/>
        </w:rPr>
        <w:t>to</w:t>
      </w:r>
      <w:r w:rsidR="00CC0A59" w:rsidRPr="00CC0A59">
        <w:rPr>
          <w:b/>
          <w:bCs/>
        </w:rPr>
        <w:t xml:space="preserve"> current)</w:t>
      </w:r>
    </w:p>
    <w:p w14:paraId="1138F9F9" w14:textId="77777777" w:rsidR="00C02AB0" w:rsidRDefault="00B02C60" w:rsidP="00C02AB0">
      <w:pPr>
        <w:pStyle w:val="p3"/>
        <w:ind w:left="720"/>
      </w:pPr>
      <w:r>
        <w:t>After</w:t>
      </w:r>
      <w:r w:rsidR="00CC0A59" w:rsidRPr="00CC0A59">
        <w:t xml:space="preserve"> the fall of Saigon</w:t>
      </w:r>
      <w:r w:rsidR="00EA5780">
        <w:t xml:space="preserve">, </w:t>
      </w:r>
      <w:r w:rsidR="00CC0A59" w:rsidRPr="00CC0A59">
        <w:t xml:space="preserve">U.S. military assistance to </w:t>
      </w:r>
      <w:r w:rsidR="00EA5780">
        <w:t xml:space="preserve">the </w:t>
      </w:r>
      <w:r w:rsidR="00CC0A59" w:rsidRPr="00CC0A59">
        <w:t xml:space="preserve">unified Vietnam dropped to essentially zero for many years because of the post-war </w:t>
      </w:r>
      <w:r w:rsidR="00EA5780">
        <w:t>break</w:t>
      </w:r>
      <w:r w:rsidR="00CC0A59" w:rsidRPr="00CC0A59">
        <w:t xml:space="preserve"> in bilateral relations and U.S. embargoes on military and most economic assistance. SIPRI-style records therefore show near-absence of U.S. major conventional arms transfers to Vietnam during the Cold War’s final decades. Normalization of relations in the 1990s led to gradual non-military engagement and later limited security cooperation in the 2000s–2010s, but major conventional arms </w:t>
      </w:r>
      <w:proofErr w:type="gramStart"/>
      <w:r w:rsidR="00CC0A59" w:rsidRPr="00CC0A59">
        <w:t>transfers</w:t>
      </w:r>
      <w:proofErr w:type="gramEnd"/>
      <w:r w:rsidR="00CC0A59" w:rsidRPr="00CC0A59">
        <w:t xml:space="preserve"> from the U.S. to Vietnam remain extremely limited compared with the 1955–75 build-up. </w:t>
      </w:r>
    </w:p>
    <w:p w14:paraId="7AAA68E3" w14:textId="09553257" w:rsidR="00E3115B" w:rsidRPr="00C02AB0" w:rsidRDefault="00C02AB0" w:rsidP="00C02AB0">
      <w:pPr>
        <w:pStyle w:val="p3"/>
      </w:pPr>
      <w:r>
        <w:rPr>
          <w:b/>
          <w:bCs/>
        </w:rPr>
        <w:t>Fe</w:t>
      </w:r>
      <w:r w:rsidR="00E3115B" w:rsidRPr="000B4AEA">
        <w:rPr>
          <w:b/>
          <w:bCs/>
        </w:rPr>
        <w:t>atures</w:t>
      </w:r>
      <w:r w:rsidR="00AA660E">
        <w:rPr>
          <w:b/>
          <w:bCs/>
        </w:rPr>
        <w:t xml:space="preserve"> </w:t>
      </w:r>
      <w:r w:rsidR="00AA660E" w:rsidRPr="000709FA">
        <w:rPr>
          <w:b/>
          <w:bCs/>
          <w:color w:val="EE0000"/>
        </w:rPr>
        <w:t>[Sammy/Jack?]</w:t>
      </w:r>
    </w:p>
    <w:p w14:paraId="61BA076D" w14:textId="15703C41" w:rsidR="00B02C60" w:rsidRPr="00B02C60" w:rsidRDefault="00B02C60" w:rsidP="00E3115B">
      <w:pPr>
        <w:pStyle w:val="p3"/>
        <w:rPr>
          <w:color w:val="EE0000"/>
        </w:rPr>
      </w:pPr>
      <w:r w:rsidRPr="00B02C60">
        <w:rPr>
          <w:rFonts w:ascii="Segoe UI" w:hAnsi="Segoe UI" w:cs="Segoe UI"/>
          <w:i/>
          <w:iCs/>
          <w:color w:val="EE0000"/>
          <w:sz w:val="21"/>
          <w:szCs w:val="21"/>
          <w:highlight w:val="yellow"/>
        </w:rPr>
        <w:t>Clearly describe its main features</w:t>
      </w:r>
      <w:r w:rsidR="00D47092">
        <w:rPr>
          <w:rFonts w:ascii="Segoe UI" w:hAnsi="Segoe UI" w:cs="Segoe UI"/>
          <w:i/>
          <w:iCs/>
          <w:color w:val="EE0000"/>
          <w:sz w:val="21"/>
          <w:szCs w:val="21"/>
        </w:rPr>
        <w:t xml:space="preserve">… </w:t>
      </w:r>
      <w:r w:rsidR="00D47092" w:rsidRPr="00D47092">
        <w:rPr>
          <w:rFonts w:ascii="Segoe UI" w:hAnsi="Segoe UI" w:cs="Segoe UI"/>
          <w:i/>
          <w:iCs/>
          <w:color w:val="EE0000"/>
          <w:sz w:val="21"/>
          <w:szCs w:val="21"/>
          <w:highlight w:val="yellow"/>
        </w:rPr>
        <w:t>need more specifics here</w:t>
      </w:r>
    </w:p>
    <w:p w14:paraId="7686C1A6" w14:textId="6A56A251" w:rsidR="00E3115B" w:rsidRPr="00B02C60" w:rsidRDefault="00945FD9" w:rsidP="00E3115B">
      <w:pPr>
        <w:pStyle w:val="p1"/>
        <w:numPr>
          <w:ilvl w:val="0"/>
          <w:numId w:val="12"/>
        </w:numPr>
        <w:spacing w:after="120" w:afterAutospacing="0"/>
        <w:rPr>
          <w:color w:val="EE0000"/>
        </w:rPr>
      </w:pPr>
      <w:r w:rsidRPr="00B02C60">
        <w:rPr>
          <w:color w:val="EE0000"/>
        </w:rPr>
        <w:t>V</w:t>
      </w:r>
      <w:r w:rsidR="00E3115B" w:rsidRPr="00B02C60">
        <w:rPr>
          <w:color w:val="EE0000"/>
        </w:rPr>
        <w:t>ariables</w:t>
      </w:r>
    </w:p>
    <w:p w14:paraId="2AC000CE" w14:textId="20A7F88A" w:rsidR="00E3115B" w:rsidRPr="00B02C60" w:rsidRDefault="00E3115B" w:rsidP="00E3115B">
      <w:pPr>
        <w:pStyle w:val="p1"/>
        <w:numPr>
          <w:ilvl w:val="1"/>
          <w:numId w:val="12"/>
        </w:numPr>
        <w:spacing w:after="120" w:afterAutospacing="0"/>
        <w:rPr>
          <w:color w:val="EE0000"/>
        </w:rPr>
      </w:pPr>
      <w:r w:rsidRPr="00B02C60">
        <w:rPr>
          <w:rStyle w:val="s1"/>
          <w:rFonts w:eastAsiaTheme="majorEastAsia"/>
          <w:color w:val="EE0000"/>
        </w:rPr>
        <w:t>Annual volume</w:t>
      </w:r>
      <w:r w:rsidR="00945FD9" w:rsidRPr="00B02C60">
        <w:rPr>
          <w:color w:val="EE0000"/>
        </w:rPr>
        <w:t xml:space="preserve"> -- t</w:t>
      </w:r>
      <w:r w:rsidRPr="00B02C60">
        <w:rPr>
          <w:color w:val="EE0000"/>
        </w:rPr>
        <w:t>otal TIV delivered in a calendar year from supplier</w:t>
      </w:r>
      <w:r w:rsidR="00945FD9" w:rsidRPr="00B02C60">
        <w:rPr>
          <w:color w:val="EE0000"/>
        </w:rPr>
        <w:t xml:space="preserve"> </w:t>
      </w:r>
      <w:r w:rsidRPr="00B02C60">
        <w:rPr>
          <w:color w:val="EE0000"/>
        </w:rPr>
        <w:t>to recipient</w:t>
      </w:r>
    </w:p>
    <w:p w14:paraId="561C1876" w14:textId="0334E211" w:rsidR="00D47092" w:rsidRDefault="00D47092" w:rsidP="00D47092">
      <w:pPr>
        <w:pStyle w:val="p1"/>
        <w:numPr>
          <w:ilvl w:val="1"/>
          <w:numId w:val="12"/>
        </w:numPr>
        <w:spacing w:after="120" w:afterAutospacing="0"/>
        <w:rPr>
          <w:rStyle w:val="s1"/>
          <w:color w:val="EE0000"/>
        </w:rPr>
      </w:pPr>
      <w:proofErr w:type="spellStart"/>
      <w:r w:rsidRPr="00B02C60">
        <w:rPr>
          <w:rStyle w:val="s1"/>
          <w:rFonts w:eastAsiaTheme="majorEastAsia"/>
          <w:color w:val="EE0000"/>
        </w:rPr>
        <w:t>X</w:t>
      </w:r>
      <w:r w:rsidR="00B02C60" w:rsidRPr="00B02C60">
        <w:rPr>
          <w:rStyle w:val="s1"/>
          <w:rFonts w:eastAsiaTheme="majorEastAsia"/>
          <w:color w:val="EE0000"/>
        </w:rPr>
        <w:t>xx</w:t>
      </w:r>
      <w:proofErr w:type="spellEnd"/>
    </w:p>
    <w:p w14:paraId="01F763A8" w14:textId="7519AF0B" w:rsidR="00D47092" w:rsidRPr="00D47092" w:rsidRDefault="00D47092" w:rsidP="00D47092">
      <w:pPr>
        <w:pStyle w:val="p1"/>
        <w:numPr>
          <w:ilvl w:val="0"/>
          <w:numId w:val="12"/>
        </w:numPr>
        <w:spacing w:after="120" w:afterAutospacing="0"/>
        <w:rPr>
          <w:color w:val="EE0000"/>
        </w:rPr>
      </w:pPr>
      <w:r>
        <w:rPr>
          <w:rStyle w:val="s1"/>
          <w:color w:val="EE0000"/>
        </w:rPr>
        <w:t xml:space="preserve">Categorical buckets (low, medium, </w:t>
      </w:r>
      <w:proofErr w:type="gramStart"/>
      <w:r>
        <w:rPr>
          <w:rStyle w:val="s1"/>
          <w:color w:val="EE0000"/>
        </w:rPr>
        <w:t>high)…</w:t>
      </w:r>
      <w:proofErr w:type="gramEnd"/>
      <w:r>
        <w:rPr>
          <w:rStyle w:val="s1"/>
          <w:color w:val="EE0000"/>
        </w:rPr>
        <w:t>.</w:t>
      </w:r>
    </w:p>
    <w:p w14:paraId="127401C8" w14:textId="77777777" w:rsidR="00D47092" w:rsidRDefault="00D47092" w:rsidP="00B02C60">
      <w:pPr>
        <w:pStyle w:val="p1"/>
        <w:spacing w:after="120" w:afterAutospacing="0"/>
        <w:rPr>
          <w:b/>
          <w:bCs/>
          <w:highlight w:val="yellow"/>
        </w:rPr>
      </w:pPr>
    </w:p>
    <w:p w14:paraId="3680ECE0" w14:textId="39E5B992" w:rsidR="00C02AB0" w:rsidRPr="00C02AB0" w:rsidRDefault="00C02AB0" w:rsidP="00C02AB0">
      <w:pPr>
        <w:pStyle w:val="ListParagraph"/>
        <w:numPr>
          <w:ilvl w:val="0"/>
          <w:numId w:val="20"/>
        </w:numPr>
        <w:shd w:val="clear" w:color="auto" w:fill="FFFFFF"/>
        <w:ind w:left="360"/>
        <w:rPr>
          <w:b/>
          <w:bCs/>
        </w:rPr>
      </w:pPr>
      <w:r w:rsidRPr="00AA660E">
        <w:rPr>
          <w:b/>
          <w:bCs/>
          <w:sz w:val="28"/>
          <w:szCs w:val="28"/>
          <w:u w:val="single"/>
        </w:rPr>
        <w:t>Model Description</w:t>
      </w:r>
      <w:r w:rsidR="000709FA" w:rsidRPr="00AA660E">
        <w:rPr>
          <w:b/>
          <w:bCs/>
          <w:sz w:val="28"/>
          <w:szCs w:val="28"/>
        </w:rPr>
        <w:t xml:space="preserve"> </w:t>
      </w:r>
      <w:r w:rsidR="000709FA" w:rsidRPr="00AA660E">
        <w:rPr>
          <w:b/>
          <w:bCs/>
          <w:color w:val="EE0000"/>
          <w:sz w:val="28"/>
          <w:szCs w:val="28"/>
        </w:rPr>
        <w:t>[</w:t>
      </w:r>
      <w:r w:rsidR="000709FA" w:rsidRPr="00AA660E">
        <w:rPr>
          <w:b/>
          <w:bCs/>
          <w:color w:val="EE0000"/>
          <w:sz w:val="28"/>
          <w:szCs w:val="28"/>
        </w:rPr>
        <w:t>Sammy/Jack?</w:t>
      </w:r>
      <w:r w:rsidR="000709FA" w:rsidRPr="00AA660E">
        <w:rPr>
          <w:b/>
          <w:bCs/>
          <w:color w:val="EE0000"/>
          <w:sz w:val="28"/>
          <w:szCs w:val="28"/>
        </w:rPr>
        <w:t>]</w:t>
      </w:r>
    </w:p>
    <w:p w14:paraId="14FB6081" w14:textId="77777777" w:rsidR="00C02AB0" w:rsidRDefault="00C02AB0" w:rsidP="00C02AB0">
      <w:pPr>
        <w:pStyle w:val="ListParagraph"/>
        <w:shd w:val="clear" w:color="auto" w:fill="FFFFFF"/>
        <w:ind w:left="360"/>
        <w:rPr>
          <w:rFonts w:ascii="Segoe UI" w:hAnsi="Segoe UI" w:cs="Segoe UI"/>
          <w:sz w:val="21"/>
          <w:szCs w:val="21"/>
        </w:rPr>
      </w:pPr>
    </w:p>
    <w:p w14:paraId="08864657" w14:textId="02DEC039" w:rsidR="00C02AB0" w:rsidRPr="00AA660E" w:rsidRDefault="00C02AB0" w:rsidP="00AA660E">
      <w:pPr>
        <w:pStyle w:val="ListParagraph"/>
        <w:shd w:val="clear" w:color="auto" w:fill="FFFFFF"/>
        <w:rPr>
          <w:rFonts w:ascii="Segoe UI" w:hAnsi="Segoe UI" w:cs="Segoe UI"/>
          <w:i/>
          <w:iCs/>
          <w:sz w:val="21"/>
          <w:szCs w:val="21"/>
        </w:rPr>
      </w:pPr>
      <w:r w:rsidRPr="00AA660E">
        <w:rPr>
          <w:rFonts w:ascii="Segoe UI" w:hAnsi="Segoe UI" w:cs="Segoe UI"/>
          <w:i/>
          <w:iCs/>
          <w:sz w:val="21"/>
          <w:szCs w:val="21"/>
        </w:rPr>
        <w:t>Describe your non-parametric model (empirical cumulative distribution functions, kernel density function, local constant least squares regression, Markov transition models). How are you fitting your model to the phenomenon to get realistic properties of the data? What challenges did you have to overcome? (15/100 pts)</w:t>
      </w:r>
    </w:p>
    <w:p w14:paraId="69CB9BE3" w14:textId="77777777" w:rsidR="00C02AB0" w:rsidRDefault="00C02AB0" w:rsidP="00C02AB0">
      <w:pPr>
        <w:pStyle w:val="ListParagraph"/>
        <w:shd w:val="clear" w:color="auto" w:fill="FFFFFF"/>
        <w:ind w:left="360"/>
        <w:rPr>
          <w:rFonts w:ascii="Segoe UI" w:hAnsi="Segoe UI" w:cs="Segoe UI"/>
          <w:sz w:val="21"/>
          <w:szCs w:val="21"/>
        </w:rPr>
      </w:pPr>
    </w:p>
    <w:p w14:paraId="789F340F" w14:textId="79DD4822" w:rsidR="000709FA" w:rsidRPr="00C96EE3" w:rsidRDefault="000709FA" w:rsidP="00C96EE3">
      <w:pPr>
        <w:shd w:val="clear" w:color="auto" w:fill="FFFFFF"/>
        <w:rPr>
          <w:rFonts w:ascii="Segoe UI" w:hAnsi="Segoe UI" w:cs="Segoe UI"/>
          <w:sz w:val="21"/>
          <w:szCs w:val="21"/>
          <w:highlight w:val="yellow"/>
        </w:rPr>
      </w:pPr>
      <w:r w:rsidRPr="00C96EE3">
        <w:rPr>
          <w:b/>
          <w:bCs/>
        </w:rPr>
        <w:t>Justification for non-parametric modeling</w:t>
      </w:r>
      <w:r>
        <w:t xml:space="preserve">: </w:t>
      </w:r>
      <w:r>
        <w:t xml:space="preserve">Arms transfers often do not occur in a steady or predictable way. Instead, they appear in irregular bursts—sometimes with no activity for years, </w:t>
      </w:r>
      <w:r>
        <w:lastRenderedPageBreak/>
        <w:t>followed by a few very large deals. These patterns are shaped by complex factors such as politics, wars, alliances, and economic conditions that do not follow simple linear cause-and-effect relationships. Nonparametric methods (e.g., Markov chains, kernel density estimation, bootstrapping) are well-suited to this type of data because they capture real patterns across categories and years without forcing the data to fit a fixed mathematical model.</w:t>
      </w:r>
    </w:p>
    <w:p w14:paraId="3DD7EA8E" w14:textId="77777777" w:rsidR="000709FA" w:rsidRDefault="000709FA" w:rsidP="00C02AB0">
      <w:pPr>
        <w:pStyle w:val="ListParagraph"/>
        <w:shd w:val="clear" w:color="auto" w:fill="FFFFFF"/>
        <w:ind w:left="360"/>
        <w:rPr>
          <w:rFonts w:ascii="Segoe UI" w:hAnsi="Segoe UI" w:cs="Segoe UI"/>
          <w:sz w:val="21"/>
          <w:szCs w:val="21"/>
          <w:highlight w:val="yellow"/>
        </w:rPr>
      </w:pPr>
    </w:p>
    <w:p w14:paraId="7D245888" w14:textId="6C82BB0A" w:rsidR="00C02AB0" w:rsidRPr="00C96EE3" w:rsidRDefault="00C02AB0" w:rsidP="00C96EE3">
      <w:pPr>
        <w:shd w:val="clear" w:color="auto" w:fill="FFFFFF"/>
        <w:rPr>
          <w:rFonts w:ascii="Segoe UI" w:hAnsi="Segoe UI" w:cs="Segoe UI"/>
          <w:sz w:val="21"/>
          <w:szCs w:val="21"/>
        </w:rPr>
      </w:pPr>
      <w:r w:rsidRPr="00C96EE3">
        <w:rPr>
          <w:rFonts w:ascii="Segoe UI" w:hAnsi="Segoe UI" w:cs="Segoe UI"/>
          <w:sz w:val="21"/>
          <w:szCs w:val="21"/>
          <w:highlight w:val="yellow"/>
        </w:rPr>
        <w:t>Describe the Marko</w:t>
      </w:r>
      <w:r w:rsidR="000709FA" w:rsidRPr="00C96EE3">
        <w:rPr>
          <w:rFonts w:ascii="Segoe UI" w:hAnsi="Segoe UI" w:cs="Segoe UI"/>
          <w:sz w:val="21"/>
          <w:szCs w:val="21"/>
          <w:highlight w:val="yellow"/>
        </w:rPr>
        <w:t xml:space="preserve">v, fitting, </w:t>
      </w:r>
      <w:r w:rsidR="000709FA" w:rsidRPr="00EE5371">
        <w:rPr>
          <w:rFonts w:ascii="Segoe UI" w:hAnsi="Segoe UI" w:cs="Segoe UI"/>
          <w:sz w:val="21"/>
          <w:szCs w:val="21"/>
          <w:highlight w:val="yellow"/>
        </w:rPr>
        <w:t>challenge</w:t>
      </w:r>
      <w:r w:rsidR="00EE5371" w:rsidRPr="00EE5371">
        <w:rPr>
          <w:rFonts w:ascii="Segoe UI" w:hAnsi="Segoe UI" w:cs="Segoe UI"/>
          <w:sz w:val="21"/>
          <w:szCs w:val="21"/>
          <w:highlight w:val="yellow"/>
        </w:rPr>
        <w:t xml:space="preserve">s, stats results, </w:t>
      </w:r>
      <w:proofErr w:type="spellStart"/>
      <w:r w:rsidR="00EE5371" w:rsidRPr="00EE5371">
        <w:rPr>
          <w:rFonts w:ascii="Segoe UI" w:hAnsi="Segoe UI" w:cs="Segoe UI"/>
          <w:sz w:val="21"/>
          <w:szCs w:val="21"/>
          <w:highlight w:val="yellow"/>
        </w:rPr>
        <w:t>etc</w:t>
      </w:r>
      <w:proofErr w:type="spellEnd"/>
      <w:r w:rsidR="00EE5371" w:rsidRPr="00EE5371">
        <w:rPr>
          <w:rFonts w:ascii="Segoe UI" w:hAnsi="Segoe UI" w:cs="Segoe UI"/>
          <w:sz w:val="21"/>
          <w:szCs w:val="21"/>
          <w:highlight w:val="yellow"/>
        </w:rPr>
        <w:t>…</w:t>
      </w:r>
    </w:p>
    <w:p w14:paraId="62E2D382" w14:textId="77777777" w:rsidR="000709FA" w:rsidRDefault="000709FA" w:rsidP="00C02AB0">
      <w:pPr>
        <w:pStyle w:val="ListParagraph"/>
        <w:shd w:val="clear" w:color="auto" w:fill="FFFFFF"/>
        <w:ind w:left="360"/>
        <w:rPr>
          <w:rFonts w:ascii="Segoe UI" w:hAnsi="Segoe UI" w:cs="Segoe UI"/>
          <w:sz w:val="21"/>
          <w:szCs w:val="21"/>
        </w:rPr>
      </w:pPr>
    </w:p>
    <w:p w14:paraId="280D38DE" w14:textId="77777777" w:rsidR="00C02AB0" w:rsidRPr="00C02AB0" w:rsidRDefault="00C02AB0" w:rsidP="00C02AB0">
      <w:pPr>
        <w:pStyle w:val="ListParagraph"/>
        <w:rPr>
          <w:rFonts w:ascii="Segoe UI" w:hAnsi="Segoe UI" w:cs="Segoe UI"/>
          <w:sz w:val="21"/>
          <w:szCs w:val="21"/>
        </w:rPr>
      </w:pPr>
    </w:p>
    <w:p w14:paraId="3EEDC00F" w14:textId="5A507F70" w:rsidR="00C02AB0" w:rsidRPr="00AA660E" w:rsidRDefault="00C02AB0" w:rsidP="00C02AB0">
      <w:pPr>
        <w:pStyle w:val="ListParagraph"/>
        <w:numPr>
          <w:ilvl w:val="0"/>
          <w:numId w:val="20"/>
        </w:numPr>
        <w:shd w:val="clear" w:color="auto" w:fill="FFFFFF"/>
        <w:ind w:left="360"/>
        <w:rPr>
          <w:b/>
          <w:bCs/>
          <w:color w:val="A02B93" w:themeColor="accent5"/>
        </w:rPr>
      </w:pPr>
      <w:r w:rsidRPr="00435F79">
        <w:rPr>
          <w:b/>
          <w:bCs/>
          <w:sz w:val="28"/>
          <w:szCs w:val="28"/>
          <w:u w:val="single"/>
        </w:rPr>
        <w:t>New Sequence Creation</w:t>
      </w:r>
      <w:r w:rsidR="000709FA" w:rsidRPr="00435F79">
        <w:rPr>
          <w:b/>
          <w:bCs/>
          <w:sz w:val="28"/>
          <w:szCs w:val="28"/>
        </w:rPr>
        <w:t xml:space="preserve"> </w:t>
      </w:r>
      <w:r w:rsidR="000709FA" w:rsidRPr="00435F79">
        <w:rPr>
          <w:b/>
          <w:bCs/>
          <w:color w:val="A02B93" w:themeColor="accent5"/>
          <w:sz w:val="28"/>
          <w:szCs w:val="28"/>
        </w:rPr>
        <w:t>[</w:t>
      </w:r>
      <w:r w:rsidR="000709FA" w:rsidRPr="00435F79">
        <w:rPr>
          <w:b/>
          <w:bCs/>
          <w:color w:val="A02B93" w:themeColor="accent5"/>
          <w:sz w:val="28"/>
          <w:szCs w:val="28"/>
        </w:rPr>
        <w:t>Andrew</w:t>
      </w:r>
      <w:r w:rsidR="000709FA" w:rsidRPr="00435F79">
        <w:rPr>
          <w:b/>
          <w:bCs/>
          <w:color w:val="A02B93" w:themeColor="accent5"/>
          <w:sz w:val="28"/>
          <w:szCs w:val="28"/>
        </w:rPr>
        <w:t>?]</w:t>
      </w:r>
    </w:p>
    <w:p w14:paraId="2BDC1903" w14:textId="77777777" w:rsidR="00C02AB0" w:rsidRDefault="00C02AB0" w:rsidP="00C02AB0">
      <w:pPr>
        <w:pStyle w:val="ListParagraph"/>
        <w:shd w:val="clear" w:color="auto" w:fill="FFFFFF"/>
        <w:ind w:left="360"/>
        <w:rPr>
          <w:rFonts w:ascii="Segoe UI" w:hAnsi="Segoe UI" w:cs="Segoe UI"/>
          <w:sz w:val="21"/>
          <w:szCs w:val="21"/>
        </w:rPr>
      </w:pPr>
    </w:p>
    <w:p w14:paraId="6E89409A" w14:textId="22803774" w:rsidR="00C02AB0" w:rsidRPr="00AA660E" w:rsidRDefault="00C02AB0" w:rsidP="00AA660E">
      <w:pPr>
        <w:pStyle w:val="ListParagraph"/>
        <w:shd w:val="clear" w:color="auto" w:fill="FFFFFF"/>
        <w:rPr>
          <w:rFonts w:ascii="Segoe UI" w:hAnsi="Segoe UI" w:cs="Segoe UI"/>
          <w:i/>
          <w:iCs/>
          <w:sz w:val="21"/>
          <w:szCs w:val="21"/>
        </w:rPr>
      </w:pPr>
      <w:r w:rsidRPr="00AA660E">
        <w:rPr>
          <w:rFonts w:ascii="Segoe UI" w:hAnsi="Segoe UI" w:cs="Segoe UI"/>
          <w:i/>
          <w:iCs/>
          <w:sz w:val="21"/>
          <w:szCs w:val="21"/>
        </w:rPr>
        <w:t>Either use your model to create new sequences (if the model is more generative) or bootstrap a quantity of interest (if the model is more inferential). (15/100 pts)</w:t>
      </w:r>
    </w:p>
    <w:p w14:paraId="5EA71C01" w14:textId="77777777" w:rsidR="00C02AB0" w:rsidRDefault="00C02AB0" w:rsidP="00C02AB0">
      <w:pPr>
        <w:pStyle w:val="ListParagraph"/>
        <w:shd w:val="clear" w:color="auto" w:fill="FFFFFF"/>
        <w:ind w:left="360"/>
        <w:rPr>
          <w:rFonts w:ascii="Segoe UI" w:hAnsi="Segoe UI" w:cs="Segoe UI"/>
          <w:sz w:val="21"/>
          <w:szCs w:val="21"/>
        </w:rPr>
      </w:pPr>
    </w:p>
    <w:p w14:paraId="72C84BE3" w14:textId="77777777" w:rsidR="00C02AB0" w:rsidRDefault="00C02AB0" w:rsidP="00C02AB0">
      <w:pPr>
        <w:pStyle w:val="ListParagraph"/>
        <w:shd w:val="clear" w:color="auto" w:fill="FFFFFF"/>
        <w:ind w:left="360"/>
        <w:rPr>
          <w:rFonts w:ascii="Segoe UI" w:hAnsi="Segoe UI" w:cs="Segoe UI"/>
          <w:sz w:val="21"/>
          <w:szCs w:val="21"/>
        </w:rPr>
      </w:pPr>
    </w:p>
    <w:p w14:paraId="665B6C8F" w14:textId="46A433F7" w:rsidR="00C02AB0" w:rsidRPr="00C96EE3" w:rsidRDefault="00C02AB0" w:rsidP="00C96EE3">
      <w:pPr>
        <w:shd w:val="clear" w:color="auto" w:fill="FFFFFF"/>
        <w:rPr>
          <w:rFonts w:ascii="Segoe UI" w:hAnsi="Segoe UI" w:cs="Segoe UI"/>
          <w:sz w:val="21"/>
          <w:szCs w:val="21"/>
        </w:rPr>
      </w:pPr>
      <w:r w:rsidRPr="00C96EE3">
        <w:rPr>
          <w:rFonts w:ascii="Segoe UI" w:hAnsi="Segoe UI" w:cs="Segoe UI"/>
          <w:sz w:val="21"/>
          <w:szCs w:val="21"/>
          <w:highlight w:val="yellow"/>
        </w:rPr>
        <w:t>Explain Afghanistan application…</w:t>
      </w:r>
    </w:p>
    <w:p w14:paraId="49138A67" w14:textId="77777777" w:rsidR="00C02AB0" w:rsidRDefault="00C02AB0" w:rsidP="00C02AB0">
      <w:pPr>
        <w:pStyle w:val="ListParagraph"/>
        <w:shd w:val="clear" w:color="auto" w:fill="FFFFFF"/>
        <w:ind w:left="360"/>
        <w:rPr>
          <w:rFonts w:ascii="Segoe UI" w:hAnsi="Segoe UI" w:cs="Segoe UI"/>
          <w:sz w:val="21"/>
          <w:szCs w:val="21"/>
        </w:rPr>
      </w:pPr>
    </w:p>
    <w:p w14:paraId="734F6BF1" w14:textId="77777777" w:rsidR="00C02AB0" w:rsidRPr="00C02AB0" w:rsidRDefault="00C02AB0" w:rsidP="00C02AB0">
      <w:pPr>
        <w:shd w:val="clear" w:color="auto" w:fill="FFFFFF"/>
        <w:rPr>
          <w:rFonts w:ascii="Segoe UI" w:hAnsi="Segoe UI" w:cs="Segoe UI"/>
          <w:sz w:val="21"/>
          <w:szCs w:val="21"/>
        </w:rPr>
      </w:pPr>
    </w:p>
    <w:p w14:paraId="24CC7960" w14:textId="5CCA5A6C" w:rsidR="00C02AB0" w:rsidRDefault="00C02AB0" w:rsidP="00C02AB0">
      <w:pPr>
        <w:pStyle w:val="ListParagraph"/>
        <w:numPr>
          <w:ilvl w:val="0"/>
          <w:numId w:val="20"/>
        </w:numPr>
        <w:shd w:val="clear" w:color="auto" w:fill="FFFFFF"/>
        <w:ind w:left="360"/>
        <w:rPr>
          <w:b/>
          <w:bCs/>
        </w:rPr>
      </w:pPr>
      <w:r w:rsidRPr="00435F79">
        <w:rPr>
          <w:b/>
          <w:bCs/>
          <w:sz w:val="28"/>
          <w:szCs w:val="28"/>
          <w:u w:val="single"/>
        </w:rPr>
        <w:t>Critical Evaluation</w:t>
      </w:r>
      <w:r w:rsidRPr="00435F79">
        <w:rPr>
          <w:b/>
          <w:bCs/>
          <w:sz w:val="28"/>
          <w:szCs w:val="28"/>
        </w:rPr>
        <w:t xml:space="preserve"> </w:t>
      </w:r>
      <w:r w:rsidRPr="00435F79">
        <w:rPr>
          <w:b/>
          <w:bCs/>
          <w:color w:val="A02B93" w:themeColor="accent5"/>
          <w:sz w:val="28"/>
          <w:szCs w:val="28"/>
        </w:rPr>
        <w:t>[Andrew]</w:t>
      </w:r>
    </w:p>
    <w:p w14:paraId="69BDEF3D" w14:textId="77777777" w:rsidR="00C02AB0" w:rsidRDefault="00C02AB0" w:rsidP="00C02AB0">
      <w:pPr>
        <w:shd w:val="clear" w:color="auto" w:fill="FFFFFF"/>
        <w:rPr>
          <w:b/>
          <w:bCs/>
        </w:rPr>
      </w:pPr>
    </w:p>
    <w:p w14:paraId="773CEF9B" w14:textId="77777777" w:rsidR="00C02AB0" w:rsidRPr="00AA660E" w:rsidRDefault="00C02AB0" w:rsidP="00AA660E">
      <w:pPr>
        <w:pStyle w:val="ListParagraph"/>
        <w:shd w:val="clear" w:color="auto" w:fill="FFFFFF"/>
        <w:rPr>
          <w:rFonts w:ascii="Segoe UI" w:hAnsi="Segoe UI" w:cs="Segoe UI"/>
          <w:i/>
          <w:iCs/>
          <w:sz w:val="21"/>
          <w:szCs w:val="21"/>
        </w:rPr>
      </w:pPr>
      <w:r w:rsidRPr="00AA660E">
        <w:rPr>
          <w:rFonts w:ascii="Segoe UI" w:hAnsi="Segoe UI" w:cs="Segoe UI"/>
          <w:i/>
          <w:iCs/>
          <w:sz w:val="21"/>
          <w:szCs w:val="21"/>
        </w:rPr>
        <w:t>Critically evaluate your work in part 4. Do your sequences have the properties of the training data, and if not, why not? Are your estimates credible and reliable, or is there substantial uncertainty in your results? (15/100 pts)</w:t>
      </w:r>
    </w:p>
    <w:p w14:paraId="33F066BE" w14:textId="77777777" w:rsidR="00C02AB0" w:rsidRDefault="00C02AB0" w:rsidP="00C02AB0">
      <w:pPr>
        <w:pStyle w:val="ListParagraph"/>
        <w:shd w:val="clear" w:color="auto" w:fill="FFFFFF"/>
        <w:ind w:left="360"/>
        <w:rPr>
          <w:rFonts w:ascii="Segoe UI" w:hAnsi="Segoe UI" w:cs="Segoe UI"/>
          <w:sz w:val="21"/>
          <w:szCs w:val="21"/>
        </w:rPr>
      </w:pPr>
    </w:p>
    <w:p w14:paraId="022D93C6" w14:textId="1BB0D0C6" w:rsidR="00C02AB0" w:rsidRPr="00C02AB0" w:rsidRDefault="00C02AB0" w:rsidP="00C02AB0">
      <w:pPr>
        <w:shd w:val="clear" w:color="auto" w:fill="FFFFFF"/>
        <w:spacing w:line="285" w:lineRule="atLeast"/>
        <w:rPr>
          <w:color w:val="A02B93" w:themeColor="accent5"/>
        </w:rPr>
      </w:pPr>
      <w:r w:rsidRPr="00C02AB0">
        <w:rPr>
          <w:color w:val="A02B93" w:themeColor="accent5"/>
        </w:rPr>
        <w:t>The simulated sequences for Afghanistan only partially share the properties of the Vietnam training data. When using the Vietnam pre-war transition matrix, the generated Afghanistan pre-war sequences fail to reproduce the frequency of high-intensity import years because the Vietnam pre-war data itself contained almost no transitions into the “High” state, leading to underestimation of major import events. In contrast, sequences generated from the Vietnam war-period matrix more closely resemble Afghanistan's wartime dynamics, as both exhibit persistent medium-to-high import states and similar state proportions that fall within the simulated 95% confidence intervals. While the war-period estimates are credible, with a small chi-square distance indicating a good fit, there remains substantial uncertainty due to small sample sizes, wide confidence bands, and differences in geopolitical context between the two countries. Overall, the model captures the general wartime behavior of sustained arms inflows but lacks reliability for pre-war conditions, as the Vietnam data do not adequately represent Afghanistan's earlier arms trade patterns.</w:t>
      </w:r>
    </w:p>
    <w:p w14:paraId="7479DD59" w14:textId="77777777" w:rsidR="00C02AB0" w:rsidRDefault="00C02AB0" w:rsidP="00C02AB0">
      <w:pPr>
        <w:pStyle w:val="ListParagraph"/>
        <w:shd w:val="clear" w:color="auto" w:fill="FFFFFF"/>
        <w:ind w:left="360"/>
        <w:rPr>
          <w:rFonts w:ascii="Segoe UI" w:hAnsi="Segoe UI" w:cs="Segoe UI"/>
          <w:sz w:val="21"/>
          <w:szCs w:val="21"/>
        </w:rPr>
      </w:pPr>
    </w:p>
    <w:p w14:paraId="6575E772" w14:textId="77777777" w:rsidR="00C02AB0" w:rsidRPr="00C02AB0" w:rsidRDefault="00C02AB0" w:rsidP="00C02AB0">
      <w:pPr>
        <w:shd w:val="clear" w:color="auto" w:fill="FFFFFF"/>
        <w:rPr>
          <w:b/>
          <w:bCs/>
        </w:rPr>
      </w:pPr>
    </w:p>
    <w:p w14:paraId="49C85717" w14:textId="77777777" w:rsidR="00C02AB0" w:rsidRPr="00435F79" w:rsidRDefault="00C02AB0" w:rsidP="00C02AB0">
      <w:pPr>
        <w:pStyle w:val="ListParagraph"/>
        <w:numPr>
          <w:ilvl w:val="0"/>
          <w:numId w:val="20"/>
        </w:numPr>
        <w:shd w:val="clear" w:color="auto" w:fill="FFFFFF"/>
        <w:ind w:left="360"/>
        <w:rPr>
          <w:b/>
          <w:bCs/>
          <w:sz w:val="28"/>
          <w:szCs w:val="28"/>
          <w:u w:val="single"/>
        </w:rPr>
      </w:pPr>
      <w:r w:rsidRPr="00435F79">
        <w:rPr>
          <w:b/>
          <w:bCs/>
          <w:sz w:val="28"/>
          <w:szCs w:val="28"/>
          <w:u w:val="single"/>
        </w:rPr>
        <w:t>Conclusion</w:t>
      </w:r>
    </w:p>
    <w:p w14:paraId="6A6E716F" w14:textId="77777777" w:rsidR="00C02AB0" w:rsidRDefault="00C02AB0" w:rsidP="00C02AB0">
      <w:pPr>
        <w:pStyle w:val="ListParagraph"/>
        <w:shd w:val="clear" w:color="auto" w:fill="FFFFFF"/>
        <w:ind w:left="360"/>
        <w:rPr>
          <w:b/>
          <w:bCs/>
        </w:rPr>
      </w:pPr>
    </w:p>
    <w:p w14:paraId="22A64C91" w14:textId="104F8205" w:rsidR="00C02AB0" w:rsidRPr="00435F79" w:rsidRDefault="00C02AB0" w:rsidP="00435F79">
      <w:pPr>
        <w:pStyle w:val="ListParagraph"/>
        <w:shd w:val="clear" w:color="auto" w:fill="FFFFFF"/>
        <w:rPr>
          <w:b/>
          <w:bCs/>
          <w:i/>
          <w:iCs/>
        </w:rPr>
      </w:pPr>
      <w:r w:rsidRPr="00435F79">
        <w:rPr>
          <w:rFonts w:ascii="Segoe UI" w:hAnsi="Segoe UI" w:cs="Segoe UI"/>
          <w:i/>
          <w:iCs/>
          <w:sz w:val="21"/>
          <w:szCs w:val="21"/>
        </w:rPr>
        <w:t>Write a conclusion that explains the limitations of your analysis and potential for future work on this topic. (10/100 pts)</w:t>
      </w:r>
    </w:p>
    <w:p w14:paraId="17149FD6" w14:textId="77777777" w:rsidR="00C02AB0" w:rsidRPr="00B02C60" w:rsidRDefault="00C02AB0" w:rsidP="00C02AB0">
      <w:pPr>
        <w:spacing w:before="100" w:beforeAutospacing="1" w:after="100" w:afterAutospacing="1"/>
        <w:outlineLvl w:val="1"/>
        <w:rPr>
          <w:b/>
          <w:bCs/>
        </w:rPr>
      </w:pPr>
      <w:r w:rsidRPr="00B02C60">
        <w:rPr>
          <w:b/>
          <w:bCs/>
        </w:rPr>
        <w:t xml:space="preserve">Limitations and caveats </w:t>
      </w:r>
    </w:p>
    <w:p w14:paraId="0D449303" w14:textId="6B0F6BB0" w:rsidR="00C02AB0" w:rsidRPr="006E2316" w:rsidRDefault="00C02AB0" w:rsidP="00435F79">
      <w:pPr>
        <w:numPr>
          <w:ilvl w:val="0"/>
          <w:numId w:val="19"/>
        </w:numPr>
        <w:spacing w:before="100" w:beforeAutospacing="1" w:after="240"/>
      </w:pPr>
      <w:r w:rsidRPr="00B02C60">
        <w:rPr>
          <w:b/>
          <w:bCs/>
        </w:rPr>
        <w:lastRenderedPageBreak/>
        <w:t>Markov</w:t>
      </w:r>
      <w:r>
        <w:rPr>
          <w:b/>
          <w:bCs/>
        </w:rPr>
        <w:t xml:space="preserve"> </w:t>
      </w:r>
      <w:r w:rsidRPr="00B02C60">
        <w:rPr>
          <w:b/>
          <w:bCs/>
        </w:rPr>
        <w:t xml:space="preserve">assumption </w:t>
      </w:r>
      <w:r>
        <w:rPr>
          <w:b/>
          <w:bCs/>
        </w:rPr>
        <w:t>is not completely</w:t>
      </w:r>
      <w:r w:rsidRPr="00B02C60">
        <w:rPr>
          <w:b/>
          <w:bCs/>
        </w:rPr>
        <w:t xml:space="preserve"> realistic.</w:t>
      </w:r>
      <w:r w:rsidRPr="00B02C60">
        <w:t xml:space="preserve"> Arms-provision depend</w:t>
      </w:r>
      <w:r w:rsidR="00435F79">
        <w:t>s</w:t>
      </w:r>
      <w:r w:rsidRPr="00B02C60">
        <w:t xml:space="preserve"> on multi-year </w:t>
      </w:r>
      <w:r w:rsidR="00435F79">
        <w:t xml:space="preserve">contracting processes, </w:t>
      </w:r>
      <w:r w:rsidRPr="00B02C60">
        <w:t>logistic</w:t>
      </w:r>
      <w:r w:rsidR="00435F79">
        <w:t>al availability</w:t>
      </w:r>
      <w:r w:rsidRPr="00B02C60">
        <w:t xml:space="preserve">, and political </w:t>
      </w:r>
      <w:r w:rsidR="00435F79">
        <w:t>dynamics</w:t>
      </w:r>
      <w:r w:rsidRPr="00B02C60">
        <w:t xml:space="preserve">. </w:t>
      </w:r>
      <w:r>
        <w:t xml:space="preserve">A </w:t>
      </w:r>
      <w:r w:rsidRPr="004A1B78">
        <w:rPr>
          <w:rStyle w:val="s1"/>
          <w:rFonts w:eastAsiaTheme="majorEastAsia"/>
        </w:rPr>
        <w:t>Markov chain</w:t>
      </w:r>
      <w:r w:rsidRPr="004A1B78">
        <w:t xml:space="preserve"> assumes that the </w:t>
      </w:r>
      <w:r w:rsidRPr="004A1B78">
        <w:rPr>
          <w:rStyle w:val="s1"/>
          <w:rFonts w:eastAsiaTheme="majorEastAsia"/>
        </w:rPr>
        <w:t>next state</w:t>
      </w:r>
      <w:r w:rsidRPr="004A1B78">
        <w:t xml:space="preserve"> of a system depends </w:t>
      </w:r>
      <w:r w:rsidRPr="004A1B78">
        <w:rPr>
          <w:rStyle w:val="s1"/>
          <w:rFonts w:eastAsiaTheme="majorEastAsia"/>
        </w:rPr>
        <w:t>only on its current state</w:t>
      </w:r>
      <w:r w:rsidRPr="004A1B78">
        <w:t>, not on the sequence of events that came before. As such, a f</w:t>
      </w:r>
      <w:r w:rsidRPr="00B02C60">
        <w:t>irst-order MC ignores these longer lags</w:t>
      </w:r>
      <w:r w:rsidRPr="004A1B78">
        <w:t xml:space="preserve"> and would require</w:t>
      </w:r>
      <w:r w:rsidRPr="00B02C60">
        <w:t xml:space="preserve"> higher-order Markov chains</w:t>
      </w:r>
      <w:r w:rsidRPr="004A1B78">
        <w:t xml:space="preserve"> to </w:t>
      </w:r>
      <w:r w:rsidR="00435F79">
        <w:t>more realistically model the complexity.</w:t>
      </w:r>
    </w:p>
    <w:p w14:paraId="1AC88B65" w14:textId="77777777" w:rsidR="00C02AB0" w:rsidRDefault="00C02AB0" w:rsidP="00435F79">
      <w:pPr>
        <w:numPr>
          <w:ilvl w:val="0"/>
          <w:numId w:val="19"/>
        </w:numPr>
        <w:spacing w:before="100" w:beforeAutospacing="1" w:after="240"/>
      </w:pPr>
      <w:r w:rsidRPr="00B02C60">
        <w:rPr>
          <w:b/>
          <w:bCs/>
        </w:rPr>
        <w:t>Political and temporal incomparability.</w:t>
      </w:r>
      <w:r w:rsidRPr="00B02C60">
        <w:t xml:space="preserve"> Vietnam’s Cold War context differs structurally from the post-2001 Afghanistan context</w:t>
      </w:r>
      <w:r>
        <w:t xml:space="preserve">. </w:t>
      </w:r>
      <w:r w:rsidRPr="00B02C60">
        <w:t xml:space="preserve">The geopolitical calculus </w:t>
      </w:r>
      <w:r>
        <w:t xml:space="preserve">of strategic competition between the US and USSR </w:t>
      </w:r>
      <w:r w:rsidRPr="00B02C60">
        <w:t xml:space="preserve">shaped supplier choices and volumes in ways that do not map neatly onto the multipolar 2001–2021 environment (NATO/coalition donors, different supplier mix). </w:t>
      </w:r>
      <w:r>
        <w:t>As such, t</w:t>
      </w:r>
      <w:r w:rsidRPr="00B02C60">
        <w:t xml:space="preserve">ransition probabilities learned from South Vietnam </w:t>
      </w:r>
      <w:r>
        <w:t>are not definitive.</w:t>
      </w:r>
    </w:p>
    <w:p w14:paraId="1A98691A" w14:textId="5AA6CC56" w:rsidR="00C02AB0" w:rsidRPr="00B02C60" w:rsidRDefault="00C02AB0" w:rsidP="00435F79">
      <w:pPr>
        <w:numPr>
          <w:ilvl w:val="0"/>
          <w:numId w:val="19"/>
        </w:numPr>
        <w:spacing w:before="100" w:beforeAutospacing="1" w:after="240"/>
      </w:pPr>
      <w:r w:rsidRPr="00B02C60">
        <w:rPr>
          <w:b/>
          <w:bCs/>
        </w:rPr>
        <w:t>SIPRI coverage limits:</w:t>
      </w:r>
      <w:r w:rsidRPr="00B02C60">
        <w:t xml:space="preserve"> SIPRI focuses on major conventional arms and omits a large share of small arms/light weapons, covert transfers, security-assistance contract spending, logistics</w:t>
      </w:r>
      <w:r>
        <w:t xml:space="preserve">, and development </w:t>
      </w:r>
      <w:r w:rsidRPr="00B02C60">
        <w:t>support</w:t>
      </w:r>
      <w:r>
        <w:t>—</w:t>
      </w:r>
      <w:r w:rsidRPr="00B02C60">
        <w:t xml:space="preserve">all </w:t>
      </w:r>
      <w:r>
        <w:t>critical elements</w:t>
      </w:r>
      <w:r w:rsidRPr="00B02C60">
        <w:t xml:space="preserve"> </w:t>
      </w:r>
      <w:r>
        <w:t xml:space="preserve">of U.S. comprehensive </w:t>
      </w:r>
      <w:r w:rsidR="00435F79">
        <w:t>assistance</w:t>
      </w:r>
      <w:r>
        <w:t xml:space="preserve"> to South Vietnam and Afghanistan</w:t>
      </w:r>
      <w:r w:rsidRPr="00B02C60">
        <w:t>. Relying only on SIPRI misses those channels</w:t>
      </w:r>
      <w:r>
        <w:t xml:space="preserve">, so </w:t>
      </w:r>
      <w:r w:rsidRPr="00B02C60">
        <w:t>combin</w:t>
      </w:r>
      <w:r>
        <w:t>ing</w:t>
      </w:r>
      <w:r w:rsidRPr="00B02C60">
        <w:t xml:space="preserve"> SIPRI with other datasets (e.g., USAID</w:t>
      </w:r>
      <w:r>
        <w:t xml:space="preserve"> and </w:t>
      </w:r>
      <w:r w:rsidRPr="00B02C60">
        <w:t>Foreign Military Financing (FMF) records, congressional reports</w:t>
      </w:r>
      <w:r>
        <w:t>, etc.</w:t>
      </w:r>
      <w:r w:rsidRPr="00B02C60">
        <w:t xml:space="preserve">) </w:t>
      </w:r>
      <w:r>
        <w:t>would more accurately</w:t>
      </w:r>
      <w:r w:rsidRPr="00B02C60">
        <w:t xml:space="preserve"> capture the full support picture.  </w:t>
      </w:r>
    </w:p>
    <w:p w14:paraId="6404C1E4" w14:textId="77777777" w:rsidR="00C02AB0" w:rsidRDefault="00C02AB0" w:rsidP="00435F79">
      <w:pPr>
        <w:numPr>
          <w:ilvl w:val="0"/>
          <w:numId w:val="19"/>
        </w:numPr>
        <w:spacing w:before="100" w:beforeAutospacing="1" w:after="240"/>
      </w:pPr>
      <w:r w:rsidRPr="00B02C60">
        <w:rPr>
          <w:b/>
          <w:bCs/>
        </w:rPr>
        <w:t>Limited sample size.</w:t>
      </w:r>
      <w:r w:rsidRPr="00B02C60">
        <w:t xml:space="preserve"> South Vietnam era is one historical case</w:t>
      </w:r>
      <w:r>
        <w:t>, so the derived t</w:t>
      </w:r>
      <w:r w:rsidRPr="00B02C60">
        <w:t>ransition matri</w:t>
      </w:r>
      <w:r>
        <w:t>x</w:t>
      </w:r>
      <w:r w:rsidRPr="00B02C60">
        <w:t xml:space="preserve"> risk</w:t>
      </w:r>
      <w:r>
        <w:t>s</w:t>
      </w:r>
      <w:r w:rsidRPr="00B02C60">
        <w:t xml:space="preserve"> overfitting and poor out-of-sample performance. Mitigation</w:t>
      </w:r>
      <w:r w:rsidRPr="006E2316">
        <w:t xml:space="preserve"> would require</w:t>
      </w:r>
      <w:r>
        <w:rPr>
          <w:i/>
          <w:iCs/>
        </w:rPr>
        <w:t xml:space="preserve"> </w:t>
      </w:r>
      <w:r w:rsidRPr="00B02C60">
        <w:t>pool</w:t>
      </w:r>
      <w:r>
        <w:t xml:space="preserve">ing </w:t>
      </w:r>
      <w:r w:rsidRPr="00B02C60">
        <w:t xml:space="preserve">training data across multiple comparable cases (U.S. </w:t>
      </w:r>
      <w:r>
        <w:t xml:space="preserve">support to other </w:t>
      </w:r>
      <w:r w:rsidRPr="00B02C60">
        <w:t>partner states in Cold War/post-Cold War settings)</w:t>
      </w:r>
      <w:r>
        <w:t>.</w:t>
      </w:r>
    </w:p>
    <w:p w14:paraId="080DDE45" w14:textId="77777777" w:rsidR="00C02AB0" w:rsidRPr="00C02AB0" w:rsidRDefault="00C02AB0" w:rsidP="00C02AB0">
      <w:pPr>
        <w:shd w:val="clear" w:color="auto" w:fill="FFFFFF"/>
        <w:rPr>
          <w:b/>
          <w:bCs/>
        </w:rPr>
      </w:pPr>
    </w:p>
    <w:p w14:paraId="2E348F41" w14:textId="79E6C043" w:rsidR="00C02AB0" w:rsidRPr="00B02C60" w:rsidRDefault="00C02AB0" w:rsidP="00C02AB0">
      <w:pPr>
        <w:spacing w:before="100" w:beforeAutospacing="1" w:after="100" w:afterAutospacing="1"/>
        <w:outlineLvl w:val="1"/>
        <w:rPr>
          <w:b/>
          <w:bCs/>
        </w:rPr>
      </w:pPr>
      <w:r>
        <w:rPr>
          <w:b/>
          <w:bCs/>
        </w:rPr>
        <w:t>Future Potential</w:t>
      </w:r>
      <w:r w:rsidRPr="00C02AB0">
        <w:rPr>
          <w:highlight w:val="yellow"/>
        </w:rPr>
        <w:t>… explain future options on this topic</w:t>
      </w:r>
      <w:r w:rsidR="000709FA">
        <w:t xml:space="preserve"> </w:t>
      </w:r>
      <w:r w:rsidR="000709FA" w:rsidRPr="000709FA">
        <w:rPr>
          <w:b/>
          <w:bCs/>
          <w:color w:val="0070C0"/>
        </w:rPr>
        <w:t>[Steve will do this]</w:t>
      </w:r>
    </w:p>
    <w:p w14:paraId="6AD3393E" w14:textId="77777777" w:rsidR="00C02AB0" w:rsidRDefault="00C02AB0" w:rsidP="00C02AB0">
      <w:pPr>
        <w:shd w:val="clear" w:color="auto" w:fill="FFFFFF"/>
        <w:rPr>
          <w:rFonts w:ascii="Segoe UI" w:hAnsi="Segoe UI" w:cs="Segoe UI"/>
          <w:sz w:val="21"/>
          <w:szCs w:val="21"/>
        </w:rPr>
      </w:pPr>
    </w:p>
    <w:p w14:paraId="196F5137" w14:textId="08A166F9" w:rsidR="00C02AB0" w:rsidRDefault="00C02AB0" w:rsidP="00C02AB0">
      <w:pPr>
        <w:shd w:val="clear" w:color="auto" w:fill="FFFFFF"/>
        <w:rPr>
          <w:rFonts w:ascii="Segoe UI" w:hAnsi="Segoe UI" w:cs="Segoe UI"/>
          <w:sz w:val="21"/>
          <w:szCs w:val="21"/>
        </w:rPr>
      </w:pPr>
      <w:r>
        <w:rPr>
          <w:rFonts w:ascii="Segoe UI" w:hAnsi="Segoe UI" w:cs="Segoe UI"/>
          <w:sz w:val="21"/>
          <w:szCs w:val="21"/>
        </w:rPr>
        <w:t xml:space="preserve">Other: </w:t>
      </w:r>
    </w:p>
    <w:p w14:paraId="7150A0F2" w14:textId="77777777" w:rsidR="00C02AB0" w:rsidRDefault="00C02AB0" w:rsidP="00C02AB0">
      <w:pPr>
        <w:shd w:val="clear" w:color="auto" w:fill="FFFFFF"/>
        <w:rPr>
          <w:rFonts w:ascii="Segoe UI" w:hAnsi="Segoe UI" w:cs="Segoe UI"/>
          <w:sz w:val="21"/>
          <w:szCs w:val="21"/>
        </w:rPr>
      </w:pPr>
    </w:p>
    <w:p w14:paraId="09CEBF1F" w14:textId="706842AF" w:rsidR="00C02AB0" w:rsidRPr="00C02AB0" w:rsidRDefault="00C02AB0" w:rsidP="00CD29CB">
      <w:pPr>
        <w:shd w:val="clear" w:color="auto" w:fill="FFFFFF"/>
        <w:ind w:left="720"/>
        <w:rPr>
          <w:rFonts w:ascii="Segoe UI" w:hAnsi="Segoe UI" w:cs="Segoe UI"/>
          <w:sz w:val="21"/>
          <w:szCs w:val="21"/>
        </w:rPr>
      </w:pPr>
      <w:r w:rsidRPr="00C02AB0">
        <w:rPr>
          <w:rFonts w:ascii="Segoe UI" w:hAnsi="Segoe UI" w:cs="Segoe UI"/>
          <w:sz w:val="21"/>
          <w:szCs w:val="21"/>
        </w:rPr>
        <w:t xml:space="preserve">submit a GitHub repo containing your code and a description of how to obtain the original data from the source. Make sure the code is commented, where appropriate. Include </w:t>
      </w:r>
      <w:proofErr w:type="gramStart"/>
      <w:r w:rsidRPr="00C02AB0">
        <w:rPr>
          <w:rFonts w:ascii="Segoe UI" w:hAnsi="Segoe UI" w:cs="Segoe UI"/>
          <w:sz w:val="21"/>
          <w:szCs w:val="21"/>
        </w:rPr>
        <w:t>a .</w:t>
      </w:r>
      <w:proofErr w:type="spellStart"/>
      <w:r w:rsidRPr="00C02AB0">
        <w:rPr>
          <w:rFonts w:ascii="Segoe UI" w:hAnsi="Segoe UI" w:cs="Segoe UI"/>
          <w:sz w:val="21"/>
          <w:szCs w:val="21"/>
        </w:rPr>
        <w:t>gitignore</w:t>
      </w:r>
      <w:proofErr w:type="spellEnd"/>
      <w:proofErr w:type="gramEnd"/>
      <w:r w:rsidRPr="00C02AB0">
        <w:rPr>
          <w:rFonts w:ascii="Segoe UI" w:hAnsi="Segoe UI" w:cs="Segoe UI"/>
          <w:sz w:val="21"/>
          <w:szCs w:val="21"/>
        </w:rPr>
        <w:t xml:space="preserve"> file. </w:t>
      </w:r>
    </w:p>
    <w:p w14:paraId="5DCB5194" w14:textId="77777777" w:rsidR="00C02AB0" w:rsidRPr="002F27BE" w:rsidRDefault="00C02AB0" w:rsidP="00CD29CB">
      <w:pPr>
        <w:shd w:val="clear" w:color="auto" w:fill="FFFFFF"/>
        <w:ind w:left="720"/>
        <w:rPr>
          <w:rFonts w:ascii="Segoe UI" w:hAnsi="Segoe UI" w:cs="Segoe UI"/>
          <w:sz w:val="21"/>
          <w:szCs w:val="21"/>
        </w:rPr>
      </w:pPr>
    </w:p>
    <w:p w14:paraId="5C0572BB" w14:textId="77777777" w:rsidR="00C02AB0" w:rsidRPr="002F27BE" w:rsidRDefault="00C02AB0" w:rsidP="00CD29CB">
      <w:pPr>
        <w:shd w:val="clear" w:color="auto" w:fill="FFFFFF"/>
        <w:spacing w:after="240"/>
        <w:ind w:left="720"/>
        <w:rPr>
          <w:rFonts w:ascii="Segoe UI" w:hAnsi="Segoe UI" w:cs="Segoe UI"/>
          <w:sz w:val="21"/>
          <w:szCs w:val="21"/>
        </w:rPr>
      </w:pPr>
      <w:r w:rsidRPr="002F27BE">
        <w:rPr>
          <w:rFonts w:ascii="Segoe UI" w:hAnsi="Segoe UI" w:cs="Segoe UI"/>
          <w:sz w:val="21"/>
          <w:szCs w:val="21"/>
        </w:rPr>
        <w:t>We will look at your commit history briefly to determine whether everyone in the group contributed. (10/100 pts)</w:t>
      </w:r>
    </w:p>
    <w:p w14:paraId="580F5336" w14:textId="77777777" w:rsidR="00C02AB0" w:rsidRPr="002F27BE" w:rsidRDefault="00C02AB0" w:rsidP="00CD29CB">
      <w:pPr>
        <w:shd w:val="clear" w:color="auto" w:fill="FFFFFF"/>
        <w:spacing w:after="120"/>
        <w:ind w:left="720"/>
        <w:rPr>
          <w:rFonts w:ascii="Segoe UI" w:hAnsi="Segoe UI" w:cs="Segoe UI"/>
          <w:sz w:val="21"/>
          <w:szCs w:val="21"/>
        </w:rPr>
      </w:pPr>
      <w:r w:rsidRPr="002F27BE">
        <w:rPr>
          <w:rFonts w:ascii="Segoe UI" w:hAnsi="Segoe UI" w:cs="Segoe UI"/>
          <w:sz w:val="21"/>
          <w:szCs w:val="21"/>
        </w:rPr>
        <w:t>In class, we'll briefly do presentations and criticize each other's work, and participation in your group's presentation and constructively critiquing the other groups' presentations accounts for the remaining 15/100 pts.</w:t>
      </w:r>
    </w:p>
    <w:p w14:paraId="76C38EDB" w14:textId="56CB7151" w:rsidR="004A1B78" w:rsidRPr="00B02C60" w:rsidRDefault="004A1B78" w:rsidP="00435F79">
      <w:pPr>
        <w:spacing w:before="100" w:beforeAutospacing="1" w:after="100" w:afterAutospacing="1"/>
      </w:pPr>
    </w:p>
    <w:p w14:paraId="6736999A" w14:textId="77777777" w:rsidR="00B02C60" w:rsidRDefault="00B02C60" w:rsidP="00B02C60">
      <w:pPr>
        <w:pStyle w:val="p1"/>
        <w:spacing w:after="120" w:afterAutospacing="0"/>
      </w:pPr>
    </w:p>
    <w:p w14:paraId="48D92F5E" w14:textId="6502BC0E" w:rsidR="0035761E" w:rsidRDefault="0035761E" w:rsidP="0035761E">
      <w:r w:rsidRPr="005864ED">
        <w:rPr>
          <w:highlight w:val="yellow"/>
        </w:rPr>
        <w:t xml:space="preserve">Sankey diagram – flow </w:t>
      </w:r>
      <w:proofErr w:type="gramStart"/>
      <w:r w:rsidRPr="005864ED">
        <w:rPr>
          <w:highlight w:val="yellow"/>
        </w:rPr>
        <w:t>visualization</w:t>
      </w:r>
      <w:r w:rsidR="00435F79">
        <w:t xml:space="preserve"> ?</w:t>
      </w:r>
      <w:proofErr w:type="gramEnd"/>
    </w:p>
    <w:p w14:paraId="766DF753" w14:textId="77777777" w:rsidR="00E3115B" w:rsidRDefault="00E3115B"/>
    <w:sectPr w:rsidR="00E3115B" w:rsidSect="00D47092">
      <w:headerReference w:type="first" r:id="rId8"/>
      <w:pgSz w:w="12240" w:h="15840"/>
      <w:pgMar w:top="1321" w:right="1440" w:bottom="1440" w:left="1440" w:header="243"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C5168" w14:textId="77777777" w:rsidR="00BF6C9B" w:rsidRDefault="00BF6C9B" w:rsidP="00887A66">
      <w:r>
        <w:separator/>
      </w:r>
    </w:p>
  </w:endnote>
  <w:endnote w:type="continuationSeparator" w:id="0">
    <w:p w14:paraId="22CB4AF8" w14:textId="77777777" w:rsidR="00BF6C9B" w:rsidRDefault="00BF6C9B" w:rsidP="00887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9CF69" w14:textId="77777777" w:rsidR="00BF6C9B" w:rsidRDefault="00BF6C9B" w:rsidP="00887A66">
      <w:r>
        <w:separator/>
      </w:r>
    </w:p>
  </w:footnote>
  <w:footnote w:type="continuationSeparator" w:id="0">
    <w:p w14:paraId="2EE18BF7" w14:textId="77777777" w:rsidR="00BF6C9B" w:rsidRDefault="00BF6C9B" w:rsidP="00887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F160" w14:textId="4860F78A" w:rsidR="00D47092" w:rsidRPr="00887A66" w:rsidRDefault="000709FA" w:rsidP="00D47092">
    <w:pPr>
      <w:shd w:val="clear" w:color="auto" w:fill="FFFFFF"/>
      <w:spacing w:before="261" w:after="174"/>
      <w:jc w:val="center"/>
      <w:outlineLvl w:val="0"/>
      <w:rPr>
        <w:kern w:val="36"/>
        <w:sz w:val="40"/>
        <w:szCs w:val="40"/>
      </w:rPr>
    </w:pPr>
    <w:r>
      <w:rPr>
        <w:kern w:val="36"/>
        <w:sz w:val="40"/>
        <w:szCs w:val="40"/>
      </w:rPr>
      <w:t xml:space="preserve">DS </w:t>
    </w:r>
    <w:r w:rsidR="00D47092" w:rsidRPr="00887A66">
      <w:rPr>
        <w:kern w:val="36"/>
        <w:sz w:val="40"/>
        <w:szCs w:val="40"/>
      </w:rPr>
      <w:t>5030 – Project 1</w:t>
    </w:r>
    <w:r w:rsidR="00F34827">
      <w:rPr>
        <w:kern w:val="36"/>
        <w:sz w:val="40"/>
        <w:szCs w:val="40"/>
      </w:rPr>
      <w:t xml:space="preserve"> </w:t>
    </w:r>
    <w:proofErr w:type="spellStart"/>
    <w:r w:rsidR="00F34827">
      <w:rPr>
        <w:kern w:val="36"/>
        <w:sz w:val="40"/>
        <w:szCs w:val="40"/>
      </w:rPr>
      <w:t>Framwork</w:t>
    </w:r>
    <w:proofErr w:type="spellEnd"/>
  </w:p>
  <w:p w14:paraId="518C10FF" w14:textId="77777777" w:rsidR="00D47092" w:rsidRDefault="00D470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272"/>
    <w:multiLevelType w:val="hybridMultilevel"/>
    <w:tmpl w:val="E9AAB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5757D5"/>
    <w:multiLevelType w:val="multilevel"/>
    <w:tmpl w:val="7BA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F4046"/>
    <w:multiLevelType w:val="multilevel"/>
    <w:tmpl w:val="E1D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93020D"/>
    <w:multiLevelType w:val="multilevel"/>
    <w:tmpl w:val="9322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8492A"/>
    <w:multiLevelType w:val="multilevel"/>
    <w:tmpl w:val="4832091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 w15:restartNumberingAfterBreak="0">
    <w:nsid w:val="2B1F6C4F"/>
    <w:multiLevelType w:val="multilevel"/>
    <w:tmpl w:val="ADB6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8768F"/>
    <w:multiLevelType w:val="multilevel"/>
    <w:tmpl w:val="ABD45FEE"/>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30F8C"/>
    <w:multiLevelType w:val="hybridMultilevel"/>
    <w:tmpl w:val="1F960A7E"/>
    <w:lvl w:ilvl="0" w:tplc="C7CA28E0">
      <w:start w:val="3"/>
      <w:numFmt w:val="decimal"/>
      <w:lvlText w:val="%1."/>
      <w:lvlJc w:val="left"/>
      <w:pPr>
        <w:ind w:left="720" w:hanging="360"/>
      </w:pPr>
      <w:rPr>
        <w:rFonts w:hint="default"/>
        <w:color w:val="000000" w:themeColor="text1"/>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EA5DA3"/>
    <w:multiLevelType w:val="multilevel"/>
    <w:tmpl w:val="06F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9380F"/>
    <w:multiLevelType w:val="multilevel"/>
    <w:tmpl w:val="9322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924E31"/>
    <w:multiLevelType w:val="multilevel"/>
    <w:tmpl w:val="E07A4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8F3CFC"/>
    <w:multiLevelType w:val="multilevel"/>
    <w:tmpl w:val="A81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D391C"/>
    <w:multiLevelType w:val="multilevel"/>
    <w:tmpl w:val="654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65C40"/>
    <w:multiLevelType w:val="multilevel"/>
    <w:tmpl w:val="1BBC73DE"/>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F4944"/>
    <w:multiLevelType w:val="multilevel"/>
    <w:tmpl w:val="61FECB4C"/>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85C8A"/>
    <w:multiLevelType w:val="multilevel"/>
    <w:tmpl w:val="C4B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B542B"/>
    <w:multiLevelType w:val="multilevel"/>
    <w:tmpl w:val="5AE0C4EA"/>
    <w:lvl w:ilvl="0">
      <w:start w:val="1"/>
      <w:numFmt w:val="bullet"/>
      <w:lvlText w:val=""/>
      <w:lvlJc w:val="left"/>
      <w:pPr>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C7E09"/>
    <w:multiLevelType w:val="multilevel"/>
    <w:tmpl w:val="50F8B27C"/>
    <w:lvl w:ilvl="0">
      <w:start w:val="1"/>
      <w:numFmt w:val="bullet"/>
      <w:lvlText w:val=""/>
      <w:lvlJc w:val="left"/>
      <w:pPr>
        <w:ind w:left="720" w:hanging="360"/>
      </w:pPr>
      <w:rPr>
        <w:rFonts w:ascii="Wingdings" w:hAnsi="Wingding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C17F12"/>
    <w:multiLevelType w:val="multilevel"/>
    <w:tmpl w:val="9322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A441F2"/>
    <w:multiLevelType w:val="multilevel"/>
    <w:tmpl w:val="536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F7DA0"/>
    <w:multiLevelType w:val="multilevel"/>
    <w:tmpl w:val="7AA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650021">
    <w:abstractNumId w:val="2"/>
  </w:num>
  <w:num w:numId="2" w16cid:durableId="1562520151">
    <w:abstractNumId w:val="9"/>
  </w:num>
  <w:num w:numId="3" w16cid:durableId="679042950">
    <w:abstractNumId w:val="12"/>
  </w:num>
  <w:num w:numId="4" w16cid:durableId="1910724214">
    <w:abstractNumId w:val="19"/>
  </w:num>
  <w:num w:numId="5" w16cid:durableId="1053768045">
    <w:abstractNumId w:val="14"/>
  </w:num>
  <w:num w:numId="6" w16cid:durableId="636180260">
    <w:abstractNumId w:val="11"/>
  </w:num>
  <w:num w:numId="7" w16cid:durableId="1453785297">
    <w:abstractNumId w:val="13"/>
  </w:num>
  <w:num w:numId="8" w16cid:durableId="960452481">
    <w:abstractNumId w:val="1"/>
  </w:num>
  <w:num w:numId="9" w16cid:durableId="573247584">
    <w:abstractNumId w:val="5"/>
  </w:num>
  <w:num w:numId="10" w16cid:durableId="612857681">
    <w:abstractNumId w:val="20"/>
  </w:num>
  <w:num w:numId="11" w16cid:durableId="1849245932">
    <w:abstractNumId w:val="6"/>
  </w:num>
  <w:num w:numId="12" w16cid:durableId="1352344396">
    <w:abstractNumId w:val="16"/>
  </w:num>
  <w:num w:numId="13" w16cid:durableId="2001345315">
    <w:abstractNumId w:val="17"/>
  </w:num>
  <w:num w:numId="14" w16cid:durableId="492843459">
    <w:abstractNumId w:val="15"/>
  </w:num>
  <w:num w:numId="15" w16cid:durableId="69426238">
    <w:abstractNumId w:val="8"/>
  </w:num>
  <w:num w:numId="16" w16cid:durableId="1282305128">
    <w:abstractNumId w:val="3"/>
  </w:num>
  <w:num w:numId="17" w16cid:durableId="793981933">
    <w:abstractNumId w:val="18"/>
  </w:num>
  <w:num w:numId="18" w16cid:durableId="1346785581">
    <w:abstractNumId w:val="4"/>
  </w:num>
  <w:num w:numId="19" w16cid:durableId="1565138734">
    <w:abstractNumId w:val="10"/>
  </w:num>
  <w:num w:numId="20" w16cid:durableId="501892389">
    <w:abstractNumId w:val="7"/>
  </w:num>
  <w:num w:numId="21" w16cid:durableId="1709405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7BE"/>
    <w:rsid w:val="000709FA"/>
    <w:rsid w:val="000B4AEA"/>
    <w:rsid w:val="0010739A"/>
    <w:rsid w:val="00132F12"/>
    <w:rsid w:val="00253E27"/>
    <w:rsid w:val="002E74AD"/>
    <w:rsid w:val="002F27BE"/>
    <w:rsid w:val="0035761E"/>
    <w:rsid w:val="00435F79"/>
    <w:rsid w:val="004477DF"/>
    <w:rsid w:val="0047401B"/>
    <w:rsid w:val="004A1B78"/>
    <w:rsid w:val="004E545C"/>
    <w:rsid w:val="00523CA0"/>
    <w:rsid w:val="005864ED"/>
    <w:rsid w:val="00682F01"/>
    <w:rsid w:val="006E2316"/>
    <w:rsid w:val="007302D1"/>
    <w:rsid w:val="0087318B"/>
    <w:rsid w:val="00887A66"/>
    <w:rsid w:val="00945FD9"/>
    <w:rsid w:val="009716DF"/>
    <w:rsid w:val="00AA660E"/>
    <w:rsid w:val="00AB10F0"/>
    <w:rsid w:val="00AF152E"/>
    <w:rsid w:val="00B02C60"/>
    <w:rsid w:val="00BF6C9B"/>
    <w:rsid w:val="00C02AB0"/>
    <w:rsid w:val="00C66848"/>
    <w:rsid w:val="00C96EE3"/>
    <w:rsid w:val="00CA52D7"/>
    <w:rsid w:val="00CC0A59"/>
    <w:rsid w:val="00CD29CB"/>
    <w:rsid w:val="00D47092"/>
    <w:rsid w:val="00DF0287"/>
    <w:rsid w:val="00E04E23"/>
    <w:rsid w:val="00E3115B"/>
    <w:rsid w:val="00EA5780"/>
    <w:rsid w:val="00EE5371"/>
    <w:rsid w:val="00F34827"/>
    <w:rsid w:val="00F45C04"/>
    <w:rsid w:val="00FC0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3853E"/>
  <w15:chartTrackingRefBased/>
  <w15:docId w15:val="{4F25A0D1-3D0D-D64A-A962-4BBF21A2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78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F2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2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7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7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7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7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2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7BE"/>
    <w:rPr>
      <w:rFonts w:eastAsiaTheme="majorEastAsia" w:cstheme="majorBidi"/>
      <w:color w:val="272727" w:themeColor="text1" w:themeTint="D8"/>
    </w:rPr>
  </w:style>
  <w:style w:type="paragraph" w:styleId="Title">
    <w:name w:val="Title"/>
    <w:basedOn w:val="Normal"/>
    <w:next w:val="Normal"/>
    <w:link w:val="TitleChar"/>
    <w:uiPriority w:val="10"/>
    <w:qFormat/>
    <w:rsid w:val="002F27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7BE"/>
    <w:pPr>
      <w:spacing w:before="160"/>
      <w:jc w:val="center"/>
    </w:pPr>
    <w:rPr>
      <w:i/>
      <w:iCs/>
      <w:color w:val="404040" w:themeColor="text1" w:themeTint="BF"/>
    </w:rPr>
  </w:style>
  <w:style w:type="character" w:customStyle="1" w:styleId="QuoteChar">
    <w:name w:val="Quote Char"/>
    <w:basedOn w:val="DefaultParagraphFont"/>
    <w:link w:val="Quote"/>
    <w:uiPriority w:val="29"/>
    <w:rsid w:val="002F27BE"/>
    <w:rPr>
      <w:i/>
      <w:iCs/>
      <w:color w:val="404040" w:themeColor="text1" w:themeTint="BF"/>
    </w:rPr>
  </w:style>
  <w:style w:type="paragraph" w:styleId="ListParagraph">
    <w:name w:val="List Paragraph"/>
    <w:basedOn w:val="Normal"/>
    <w:uiPriority w:val="34"/>
    <w:qFormat/>
    <w:rsid w:val="002F27BE"/>
    <w:pPr>
      <w:ind w:left="720"/>
      <w:contextualSpacing/>
    </w:pPr>
  </w:style>
  <w:style w:type="character" w:styleId="IntenseEmphasis">
    <w:name w:val="Intense Emphasis"/>
    <w:basedOn w:val="DefaultParagraphFont"/>
    <w:uiPriority w:val="21"/>
    <w:qFormat/>
    <w:rsid w:val="002F27BE"/>
    <w:rPr>
      <w:i/>
      <w:iCs/>
      <w:color w:val="0F4761" w:themeColor="accent1" w:themeShade="BF"/>
    </w:rPr>
  </w:style>
  <w:style w:type="paragraph" w:styleId="IntenseQuote">
    <w:name w:val="Intense Quote"/>
    <w:basedOn w:val="Normal"/>
    <w:next w:val="Normal"/>
    <w:link w:val="IntenseQuoteChar"/>
    <w:uiPriority w:val="30"/>
    <w:qFormat/>
    <w:rsid w:val="002F2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7BE"/>
    <w:rPr>
      <w:i/>
      <w:iCs/>
      <w:color w:val="0F4761" w:themeColor="accent1" w:themeShade="BF"/>
    </w:rPr>
  </w:style>
  <w:style w:type="character" w:styleId="IntenseReference">
    <w:name w:val="Intense Reference"/>
    <w:basedOn w:val="DefaultParagraphFont"/>
    <w:uiPriority w:val="32"/>
    <w:qFormat/>
    <w:rsid w:val="002F27BE"/>
    <w:rPr>
      <w:b/>
      <w:bCs/>
      <w:smallCaps/>
      <w:color w:val="0F4761" w:themeColor="accent1" w:themeShade="BF"/>
      <w:spacing w:val="5"/>
    </w:rPr>
  </w:style>
  <w:style w:type="paragraph" w:styleId="NormalWeb">
    <w:name w:val="Normal (Web)"/>
    <w:basedOn w:val="Normal"/>
    <w:uiPriority w:val="99"/>
    <w:unhideWhenUsed/>
    <w:rsid w:val="002F27BE"/>
    <w:pPr>
      <w:spacing w:before="100" w:beforeAutospacing="1" w:after="100" w:afterAutospacing="1"/>
    </w:pPr>
  </w:style>
  <w:style w:type="character" w:styleId="Hyperlink">
    <w:name w:val="Hyperlink"/>
    <w:basedOn w:val="DefaultParagraphFont"/>
    <w:uiPriority w:val="99"/>
    <w:unhideWhenUsed/>
    <w:rsid w:val="002F27BE"/>
    <w:rPr>
      <w:color w:val="0000FF"/>
      <w:u w:val="single"/>
    </w:rPr>
  </w:style>
  <w:style w:type="paragraph" w:customStyle="1" w:styleId="p1">
    <w:name w:val="p1"/>
    <w:basedOn w:val="Normal"/>
    <w:rsid w:val="00253E27"/>
    <w:pPr>
      <w:spacing w:before="100" w:beforeAutospacing="1" w:after="100" w:afterAutospacing="1"/>
    </w:pPr>
  </w:style>
  <w:style w:type="character" w:customStyle="1" w:styleId="s1">
    <w:name w:val="s1"/>
    <w:basedOn w:val="DefaultParagraphFont"/>
    <w:rsid w:val="00253E27"/>
  </w:style>
  <w:style w:type="paragraph" w:customStyle="1" w:styleId="p2">
    <w:name w:val="p2"/>
    <w:basedOn w:val="Normal"/>
    <w:rsid w:val="00253E27"/>
    <w:pPr>
      <w:spacing w:before="100" w:beforeAutospacing="1" w:after="100" w:afterAutospacing="1"/>
    </w:pPr>
  </w:style>
  <w:style w:type="paragraph" w:customStyle="1" w:styleId="p3">
    <w:name w:val="p3"/>
    <w:basedOn w:val="Normal"/>
    <w:rsid w:val="00253E27"/>
    <w:pPr>
      <w:spacing w:before="100" w:beforeAutospacing="1" w:after="100" w:afterAutospacing="1"/>
    </w:pPr>
  </w:style>
  <w:style w:type="character" w:customStyle="1" w:styleId="apple-converted-space">
    <w:name w:val="apple-converted-space"/>
    <w:basedOn w:val="DefaultParagraphFont"/>
    <w:rsid w:val="00253E27"/>
  </w:style>
  <w:style w:type="paragraph" w:styleId="Header">
    <w:name w:val="header"/>
    <w:basedOn w:val="Normal"/>
    <w:link w:val="HeaderChar"/>
    <w:uiPriority w:val="99"/>
    <w:unhideWhenUsed/>
    <w:rsid w:val="00887A66"/>
    <w:pPr>
      <w:tabs>
        <w:tab w:val="center" w:pos="4680"/>
        <w:tab w:val="right" w:pos="9360"/>
      </w:tabs>
    </w:pPr>
  </w:style>
  <w:style w:type="character" w:customStyle="1" w:styleId="HeaderChar">
    <w:name w:val="Header Char"/>
    <w:basedOn w:val="DefaultParagraphFont"/>
    <w:link w:val="Header"/>
    <w:uiPriority w:val="99"/>
    <w:rsid w:val="00887A6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87A66"/>
    <w:pPr>
      <w:tabs>
        <w:tab w:val="center" w:pos="4680"/>
        <w:tab w:val="right" w:pos="9360"/>
      </w:tabs>
    </w:pPr>
  </w:style>
  <w:style w:type="character" w:customStyle="1" w:styleId="FooterChar">
    <w:name w:val="Footer Char"/>
    <w:basedOn w:val="DefaultParagraphFont"/>
    <w:link w:val="Footer"/>
    <w:uiPriority w:val="99"/>
    <w:rsid w:val="00887A66"/>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474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ipri.org/databases/armstransf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8</Pages>
  <Words>2895</Words>
  <Characters>16507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Ferenzi</dc:creator>
  <cp:keywords/>
  <dc:description/>
  <cp:lastModifiedBy>Steve Ferenzi</cp:lastModifiedBy>
  <cp:revision>11</cp:revision>
  <dcterms:created xsi:type="dcterms:W3CDTF">2025-11-11T19:37:00Z</dcterms:created>
  <dcterms:modified xsi:type="dcterms:W3CDTF">2025-11-12T02:18:00Z</dcterms:modified>
</cp:coreProperties>
</file>