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004B7A"/>
          <w:sz w:val="40"/>
        </w:rPr>
        <w:t>文献汇总：8月上</w:t>
      </w:r>
    </w:p>
    <w:p>
      <w:pPr>
        <w:spacing w:after="200"/>
        <w:jc w:val="center"/>
      </w:pPr>
      <w:r>
        <w:rPr>
          <w:b w:val="0"/>
          <w:color w:val="888888"/>
          <w:sz w:val="18"/>
        </w:rPr>
        <w:t>2026-08-01 → 2026-08-15 · 共 16 篇</w:t>
      </w:r>
    </w:p>
    <w:p>
      <w:pPr>
        <w:spacing w:before="480" w:after="40"/>
      </w:pPr>
      <w:r>
        <w:rPr>
          <w:b/>
          <w:color w:val="1C5D54"/>
          <w:sz w:val="30"/>
        </w:rPr>
        <w:t>Ⅰ  经济学 · Economics（5）</w:t>
      </w:r>
    </w:p>
    <w:p>
      <w:pPr>
        <w:spacing w:before="240" w:after="120"/>
      </w:pPr>
      <w:r>
        <w:rPr>
          <w:b/>
          <w:color w:val="888888"/>
          <w:sz w:val="22"/>
        </w:rPr>
        <w:t>▎ Theory and Decision</w:t>
      </w:r>
    </w:p>
    <w:p>
      <w:pPr>
        <w:spacing w:after="40"/>
      </w:pPr>
      <w:r>
        <w:rPr>
          <w:b/>
          <w:color w:val="1A1A1A"/>
          <w:sz w:val="26"/>
        </w:rPr>
        <w:t xml:space="preserve">1. </w:t>
      </w:r>
      <w:hyperlink r:id="rId9">
        <w:r>
          <w:rPr>
            <w:color w:val="004B7A"/>
            <w:u w:val="single"/>
            <w:b/>
            <w:sz w:val="26"/>
          </w:rPr>
          <w:t xml:space="preserve">Introduction to the Special Issue on Dynamic Decision Theory</w:t>
        </w:r>
      </w:hyperlink>
    </w:p>
    <w:p>
      <w:pPr>
        <w:spacing w:after="100"/>
      </w:pPr>
      <w:r>
        <w:rPr>
          <w:b w:val="0"/>
          <w:color w:val="888888"/>
          <w:sz w:val="18"/>
        </w:rPr>
        <w:t>Spohn, W., Rothfus, G., Radzvilas, M.</w:t>
      </w:r>
    </w:p>
    <w:p>
      <w:pPr>
        <w:spacing w:after="80"/>
      </w:pPr>
      <w:r>
        <w:rPr>
          <w:b/>
          <w:color w:val="1A1A1A"/>
          <w:sz w:val="22"/>
        </w:rPr>
        <w:t xml:space="preserve">内容简介 · </w:t>
      </w:r>
      <w:r>
        <w:rPr>
          <w:b w:val="0"/>
          <w:sz w:val="22"/>
        </w:rPr>
        <w:t>This is an introductory editorial to a special issue dedicated to dynamic decision theory, likely overviewing theoretical and empirical contributions on how decisions unfold over time under risk and uncertainty.</w:t>
      </w:r>
    </w:p>
    <w:p>
      <w:pPr>
        <w:spacing w:before="240" w:after="120"/>
      </w:pPr>
      <w:r>
        <w:rPr>
          <w:b/>
          <w:color w:val="888888"/>
          <w:sz w:val="22"/>
        </w:rPr>
        <w:t>▎ Journal of Risk and Uncertainty</w:t>
      </w:r>
    </w:p>
    <w:p>
      <w:pPr>
        <w:spacing w:after="40"/>
      </w:pPr>
      <w:r>
        <w:rPr>
          <w:b/>
          <w:color w:val="1A1A1A"/>
          <w:sz w:val="26"/>
        </w:rPr>
        <w:t xml:space="preserve">2. </w:t>
      </w:r>
      <w:hyperlink r:id="rId10">
        <w:r>
          <w:rPr>
            <w:color w:val="004B7A"/>
            <w:u w:val="single"/>
            <w:b/>
            <w:sz w:val="26"/>
          </w:rPr>
          <w:t xml:space="preserve">Identity-based risk and time preference predictions</w:t>
        </w:r>
      </w:hyperlink>
    </w:p>
    <w:p>
      <w:pPr>
        <w:spacing w:after="100"/>
      </w:pPr>
      <w:r>
        <w:rPr>
          <w:b w:val="0"/>
          <w:color w:val="888888"/>
          <w:sz w:val="18"/>
        </w:rPr>
        <w:t>Burke, N., Cameron, M.</w:t>
      </w:r>
    </w:p>
    <w:p>
      <w:pPr>
        <w:spacing w:after="80"/>
      </w:pPr>
      <w:r>
        <w:rPr>
          <w:b/>
          <w:color w:val="1A1A1A"/>
          <w:sz w:val="22"/>
        </w:rPr>
        <w:t xml:space="preserve">内容简介 · </w:t>
      </w:r>
      <w:r>
        <w:rPr>
          <w:b w:val="0"/>
          <w:sz w:val="22"/>
        </w:rPr>
        <w:t>The paper examines how social identity influences predictions about individuals' risk and time preferences, touching on individual-level preference formation and decision making.</w:t>
      </w:r>
    </w:p>
    <w:p>
      <w:pPr>
        <w:spacing w:before="240" w:after="120"/>
      </w:pPr>
      <w:r>
        <w:rPr>
          <w:b/>
          <w:color w:val="888888"/>
          <w:sz w:val="22"/>
        </w:rPr>
        <w:t>▎ Journal of Economic Behavior &amp; Organization</w:t>
      </w:r>
    </w:p>
    <w:p>
      <w:pPr>
        <w:spacing w:after="40"/>
      </w:pPr>
      <w:r>
        <w:rPr>
          <w:b/>
          <w:color w:val="1A1A1A"/>
          <w:sz w:val="26"/>
        </w:rPr>
        <w:t xml:space="preserve">3. </w:t>
      </w:r>
      <w:hyperlink r:id="rId11">
        <w:r>
          <w:rPr>
            <w:color w:val="004B7A"/>
            <w:u w:val="single"/>
            <w:b/>
            <w:sz w:val="26"/>
          </w:rPr>
          <w:t xml:space="preserve">On the stability of social risk preferences for health and wealth</w:t>
        </w:r>
      </w:hyperlink>
    </w:p>
    <w:p>
      <w:pPr>
        <w:spacing w:after="100"/>
      </w:pPr>
      <w:r>
        <w:rPr>
          <w:b w:val="0"/>
          <w:color w:val="888888"/>
          <w:sz w:val="18"/>
        </w:rPr>
        <w:t>Attema, A., L’Haridon, O., van de Kuilen, G.</w:t>
      </w:r>
    </w:p>
    <w:p>
      <w:pPr>
        <w:spacing w:after="80"/>
      </w:pPr>
      <w:r>
        <w:rPr>
          <w:b/>
          <w:color w:val="1A1A1A"/>
          <w:sz w:val="22"/>
        </w:rPr>
        <w:t xml:space="preserve">内容简介 · </w:t>
      </w:r>
      <w:r>
        <w:rPr>
          <w:b w:val="0"/>
          <w:sz w:val="22"/>
        </w:rPr>
        <w:t>The paper investigates whether social risk preferences related to health and wealth outcomes are stable, examining how individuals evaluate and compare risky options across different domains.</w:t>
      </w:r>
    </w:p>
    <w:p>
      <w:pPr>
        <w:spacing w:before="120" w:after="240"/>
        <w:jc w:val="center"/>
      </w:pPr>
      <w:r>
        <w:rPr>
          <w:b w:val="0"/>
          <w:color w:val="888888"/>
          <w:sz w:val="20"/>
        </w:rPr>
        <w:t>· · ·</w:t>
      </w:r>
    </w:p>
    <w:p>
      <w:pPr>
        <w:spacing w:after="40"/>
      </w:pPr>
      <w:r>
        <w:rPr>
          <w:b/>
          <w:color w:val="1A1A1A"/>
          <w:sz w:val="26"/>
        </w:rPr>
        <w:t xml:space="preserve">4. </w:t>
      </w:r>
      <w:hyperlink r:id="rId12">
        <w:r>
          <w:rPr>
            <w:color w:val="004B7A"/>
            <w:u w:val="single"/>
            <w:b/>
            <w:sz w:val="26"/>
          </w:rPr>
          <w:t xml:space="preserve">Deliberate stochastic choice: A mouse-tracking experiment</w:t>
        </w:r>
      </w:hyperlink>
    </w:p>
    <w:p>
      <w:pPr>
        <w:spacing w:after="100"/>
      </w:pPr>
      <w:r>
        <w:rPr>
          <w:b w:val="0"/>
          <w:color w:val="888888"/>
          <w:sz w:val="18"/>
        </w:rPr>
        <w:t>Adamo, M., Coricelli, G.</w:t>
      </w:r>
    </w:p>
    <w:p>
      <w:pPr>
        <w:spacing w:after="80"/>
      </w:pPr>
      <w:r>
        <w:rPr>
          <w:b/>
          <w:color w:val="1A1A1A"/>
          <w:sz w:val="22"/>
        </w:rPr>
        <w:t xml:space="preserve">内容简介 · </w:t>
      </w:r>
      <w:r>
        <w:rPr>
          <w:b w:val="0"/>
          <w:sz w:val="22"/>
        </w:rPr>
        <w:t>The paper uses mouse-tracking to study how people deliberate when making stochastic (probabilistic) choices, providing process-level evidence about the cognitive dynamics underlying decisions under uncertainty.</w:t>
      </w:r>
    </w:p>
    <w:p>
      <w:pPr>
        <w:spacing w:before="240" w:after="120"/>
      </w:pPr>
      <w:r>
        <w:rPr>
          <w:b/>
          <w:color w:val="888888"/>
          <w:sz w:val="22"/>
        </w:rPr>
        <w:t>▎ Management Science</w:t>
      </w:r>
    </w:p>
    <w:p>
      <w:pPr>
        <w:spacing w:after="40"/>
      </w:pPr>
      <w:r>
        <w:rPr>
          <w:b/>
          <w:color w:val="1A1A1A"/>
          <w:sz w:val="26"/>
        </w:rPr>
        <w:t xml:space="preserve">5. </w:t>
      </w:r>
      <w:hyperlink r:id="rId13">
        <w:r>
          <w:rPr>
            <w:color w:val="004B7A"/>
            <w:u w:val="single"/>
            <w:b/>
            <w:sz w:val="26"/>
          </w:rPr>
          <w:t xml:space="preserve">Nonadditivity of Subjective Expectations over Different Time Intervals</w:t>
        </w:r>
      </w:hyperlink>
    </w:p>
    <w:p>
      <w:pPr>
        <w:spacing w:after="100"/>
      </w:pPr>
      <w:r>
        <w:rPr>
          <w:b w:val="0"/>
          <w:color w:val="888888"/>
          <w:sz w:val="18"/>
        </w:rPr>
        <w:t>Haan, P., Sun, C., Sunde, U., Weizsäcker, G.</w:t>
      </w:r>
    </w:p>
    <w:p>
      <w:pPr>
        <w:spacing w:after="80"/>
      </w:pPr>
      <w:r>
        <w:rPr>
          <w:b/>
          <w:color w:val="1A1A1A"/>
          <w:sz w:val="22"/>
        </w:rPr>
        <w:t xml:space="preserve">内容简介 · </w:t>
      </w:r>
      <w:r>
        <w:rPr>
          <w:b w:val="0"/>
          <w:sz w:val="22"/>
        </w:rPr>
        <w:t>This paper finds that people's subjective expectations about economic variables (e.g., stock prices) over long time horizons are subadditive relative to summed short-horizon expectations, consistent with a model of distorted time perception, and that this bias correlates with real financial investment behavior.</w:t>
      </w:r>
    </w:p>
    <w:p>
      <w:pPr>
        <w:spacing w:before="480" w:after="40"/>
      </w:pPr>
      <w:r>
        <w:rPr>
          <w:b/>
          <w:color w:val="8A2B3A"/>
          <w:sz w:val="30"/>
        </w:rPr>
        <w:t>Ⅱ  心理学 · Psychology（9）</w:t>
      </w:r>
    </w:p>
    <w:p>
      <w:pPr>
        <w:spacing w:before="240" w:after="120"/>
      </w:pPr>
      <w:r>
        <w:rPr>
          <w:b/>
          <w:color w:val="888888"/>
          <w:sz w:val="22"/>
        </w:rPr>
        <w:t>▎ Trends in Cognitive Sciences</w:t>
      </w:r>
    </w:p>
    <w:p>
      <w:pPr>
        <w:spacing w:after="40"/>
      </w:pPr>
      <w:r>
        <w:rPr>
          <w:b/>
          <w:color w:val="1A1A1A"/>
          <w:sz w:val="26"/>
        </w:rPr>
        <w:t xml:space="preserve">6. </w:t>
      </w:r>
      <w:hyperlink r:id="rId14">
        <w:r>
          <w:rPr>
            <w:color w:val="004B7A"/>
            <w:u w:val="single"/>
            <w:b/>
            <w:sz w:val="26"/>
          </w:rPr>
          <w:t xml:space="preserve">Toward a psychology of real-life decision-making</w:t>
        </w:r>
      </w:hyperlink>
    </w:p>
    <w:p>
      <w:pPr>
        <w:spacing w:after="100"/>
      </w:pPr>
      <w:r>
        <w:rPr>
          <w:b w:val="0"/>
          <w:color w:val="888888"/>
          <w:sz w:val="18"/>
        </w:rPr>
        <w:t>Schakowski, A., Deffner, D., Kavelaars, M., Haux, L., Kuroda, K., Dhellemmes, F., Kurvers, R.</w:t>
      </w:r>
    </w:p>
    <w:p>
      <w:pPr>
        <w:spacing w:after="80"/>
      </w:pPr>
      <w:r>
        <w:rPr>
          <w:b/>
          <w:color w:val="1A1A1A"/>
          <w:sz w:val="22"/>
        </w:rPr>
        <w:t xml:space="preserve">内容简介 · </w:t>
      </w:r>
      <w:r>
        <w:rPr>
          <w:b w:val="0"/>
          <w:sz w:val="22"/>
        </w:rPr>
        <w:t>This paper reviews tracking technologies and statistical tools and proposes a framework for studying real-life decision-making at a process level using high-resolution spatiotemporal data, bridging the gap between lab-based cognitive mechanisms and naturalistic behavior.</w:t>
      </w:r>
    </w:p>
    <w:p>
      <w:pPr>
        <w:spacing w:before="240" w:after="120"/>
      </w:pPr>
      <w:r>
        <w:rPr>
          <w:b/>
          <w:color w:val="888888"/>
          <w:sz w:val="22"/>
        </w:rPr>
        <w:t>▎ Journal of Behavioral Decision Making</w:t>
      </w:r>
    </w:p>
    <w:p>
      <w:pPr>
        <w:spacing w:after="40"/>
      </w:pPr>
      <w:r>
        <w:rPr>
          <w:b/>
          <w:color w:val="1A1A1A"/>
          <w:sz w:val="26"/>
        </w:rPr>
        <w:t xml:space="preserve">7. </w:t>
      </w:r>
      <w:hyperlink r:id="rId15">
        <w:r>
          <w:rPr>
            <w:color w:val="004B7A"/>
            <w:u w:val="single"/>
            <w:b/>
            <w:sz w:val="26"/>
          </w:rPr>
          <w:t xml:space="preserve">Catch and Spawn: An Angling Risk Task for Decreasing Risk Contexts</w:t>
        </w:r>
      </w:hyperlink>
    </w:p>
    <w:p>
      <w:pPr>
        <w:spacing w:after="100"/>
      </w:pPr>
      <w:r>
        <w:rPr>
          <w:b w:val="0"/>
          <w:color w:val="888888"/>
          <w:sz w:val="18"/>
        </w:rPr>
        <w:t>Güney, Ş., Kapadia, K., Tang, Y., John, R.</w:t>
      </w:r>
    </w:p>
    <w:p>
      <w:pPr>
        <w:spacing w:after="80"/>
      </w:pPr>
      <w:r>
        <w:rPr>
          <w:b/>
          <w:color w:val="1A1A1A"/>
          <w:sz w:val="22"/>
        </w:rPr>
        <w:t xml:space="preserve">内容简介 · </w:t>
      </w:r>
      <w:r>
        <w:rPr>
          <w:b w:val="0"/>
          <w:sz w:val="22"/>
        </w:rPr>
        <w:t>This study investigates how behavior on behavioral risk-taking tasks (Angling Risk Task variants and BART) changes when risk decreases over time versus increases, and whether sensitivity to these changes depends on knowing the outcome probabilities (risk vs. ambiguity). Results show participants take more actions under decreasing risk when probabilities are known, but are more cautious and less sensitive under ambiguity, challenging the idea that such tasks measure a single domain-general risk preference.</w:t>
      </w:r>
    </w:p>
    <w:p>
      <w:pPr>
        <w:spacing w:before="240" w:after="120"/>
      </w:pPr>
      <w:r>
        <w:rPr>
          <w:b/>
          <w:color w:val="888888"/>
          <w:sz w:val="22"/>
        </w:rPr>
        <w:t>▎ Journal of Mathematical Psychology</w:t>
      </w:r>
    </w:p>
    <w:p>
      <w:pPr>
        <w:spacing w:after="40"/>
      </w:pPr>
      <w:r>
        <w:rPr>
          <w:b/>
          <w:color w:val="1A1A1A"/>
          <w:sz w:val="26"/>
        </w:rPr>
        <w:t xml:space="preserve">8. </w:t>
      </w:r>
      <w:hyperlink r:id="rId16">
        <w:r>
          <w:rPr>
            <w:color w:val="004B7A"/>
            <w:u w:val="single"/>
            <w:b/>
            <w:sz w:val="26"/>
          </w:rPr>
          <w:t xml:space="preserve">A systematic empirical comparison of active inference and reinforcement learning models in accounting for decision-making under uncertainty</w:t>
        </w:r>
      </w:hyperlink>
    </w:p>
    <w:p>
      <w:pPr>
        <w:spacing w:after="100"/>
      </w:pPr>
      <w:r>
        <w:rPr>
          <w:b w:val="0"/>
          <w:color w:val="888888"/>
          <w:sz w:val="18"/>
        </w:rPr>
        <w:t>Chou, K., Hakimi, N., Hsu, T., Smith, R.</w:t>
      </w:r>
    </w:p>
    <w:p>
      <w:pPr>
        <w:spacing w:after="80"/>
      </w:pPr>
      <w:r>
        <w:rPr>
          <w:b/>
          <w:color w:val="1A1A1A"/>
          <w:sz w:val="22"/>
        </w:rPr>
        <w:t xml:space="preserve">内容简介 · </w:t>
      </w:r>
      <w:r>
        <w:rPr>
          <w:b w:val="0"/>
          <w:sz w:val="22"/>
        </w:rPr>
        <w:t>The paper systematically and empirically compares active inference and reinforcement learning frameworks as computational accounts of decision-making under uncertainty. It evaluates how well each model explains observed choice behavior in uncertain environments.</w:t>
      </w:r>
    </w:p>
    <w:p>
      <w:pPr>
        <w:spacing w:before="120" w:after="240"/>
        <w:jc w:val="center"/>
      </w:pPr>
      <w:r>
        <w:rPr>
          <w:b w:val="0"/>
          <w:color w:val="888888"/>
          <w:sz w:val="20"/>
        </w:rPr>
        <w:t>· · ·</w:t>
      </w:r>
    </w:p>
    <w:p>
      <w:pPr>
        <w:spacing w:after="40"/>
      </w:pPr>
      <w:r>
        <w:rPr>
          <w:b/>
          <w:color w:val="1A1A1A"/>
          <w:sz w:val="26"/>
        </w:rPr>
        <w:t xml:space="preserve">9. </w:t>
      </w:r>
      <w:hyperlink r:id="rId17">
        <w:r>
          <w:rPr>
            <w:color w:val="004B7A"/>
            <w:u w:val="single"/>
            <w:b/>
            <w:sz w:val="26"/>
          </w:rPr>
          <w:t xml:space="preserve">Time-averaged drift approximations are inconsistent for inference in drift diffusion models</w:t>
        </w:r>
      </w:hyperlink>
    </w:p>
    <w:p>
      <w:pPr>
        <w:spacing w:after="100"/>
      </w:pPr>
      <w:r>
        <w:rPr>
          <w:b w:val="0"/>
          <w:color w:val="888888"/>
          <w:sz w:val="18"/>
        </w:rPr>
        <w:t>Liu, S., Fengler, A., Frank, M., Harrison, M.</w:t>
      </w:r>
    </w:p>
    <w:p>
      <w:pPr>
        <w:spacing w:after="80"/>
      </w:pPr>
      <w:r>
        <w:rPr>
          <w:b/>
          <w:color w:val="1A1A1A"/>
          <w:sz w:val="22"/>
        </w:rPr>
        <w:t xml:space="preserve">内容简介 · </w:t>
      </w:r>
      <w:r>
        <w:rPr>
          <w:b w:val="0"/>
          <w:sz w:val="22"/>
        </w:rPr>
        <w:t>The paper proves that the time-averaged drift approximation (TADA), commonly used for fast likelihood inference in drift diffusion models, is statistically inconsistent and systematically misestimates parameters, including attentional effects in the attentional DDM (aDDM). The authors provide mathematical proof and numerical demonstrations showing this leads to false conclusions about how attention influences decision making.</w:t>
      </w:r>
    </w:p>
    <w:p>
      <w:pPr>
        <w:spacing w:before="120" w:after="240"/>
        <w:jc w:val="center"/>
      </w:pPr>
      <w:r>
        <w:rPr>
          <w:b w:val="0"/>
          <w:color w:val="888888"/>
          <w:sz w:val="20"/>
        </w:rPr>
        <w:t>· · ·</w:t>
      </w:r>
    </w:p>
    <w:p>
      <w:pPr>
        <w:spacing w:after="40"/>
      </w:pPr>
      <w:r>
        <w:rPr>
          <w:b/>
          <w:color w:val="1A1A1A"/>
          <w:sz w:val="26"/>
        </w:rPr>
        <w:t xml:space="preserve">10. </w:t>
      </w:r>
      <w:hyperlink r:id="rId18">
        <w:r>
          <w:rPr>
            <w:color w:val="004B7A"/>
            <w:u w:val="single"/>
            <w:b/>
            <w:sz w:val="26"/>
          </w:rPr>
          <w:t xml:space="preserve">Deciding by quantum-like belief morphing or hopping?Its application to multi-agent response influence</w:t>
        </w:r>
      </w:hyperlink>
    </w:p>
    <w:p>
      <w:pPr>
        <w:spacing w:after="100"/>
      </w:pPr>
      <w:r>
        <w:rPr>
          <w:b w:val="0"/>
          <w:color w:val="888888"/>
          <w:sz w:val="18"/>
        </w:rPr>
        <w:t>Broekaert, J., Hancock, T., Hafiz, F., Hess, S., Torre, D.</w:t>
      </w:r>
    </w:p>
    <w:p>
      <w:pPr>
        <w:spacing w:after="80"/>
      </w:pPr>
      <w:r>
        <w:rPr>
          <w:b/>
          <w:color w:val="1A1A1A"/>
          <w:sz w:val="22"/>
        </w:rPr>
        <w:t xml:space="preserve">内容简介 · </w:t>
      </w:r>
      <w:r>
        <w:rPr>
          <w:b w:val="0"/>
          <w:sz w:val="22"/>
        </w:rPr>
        <w:t>The paper applies quantum-like probabilistic models to decision making, examining how beliefs morph or hop during deliberation and how this applies to multi-agent response influence. It uses quantum cognition as a formal framework for understanding judgment and choice processes.</w:t>
      </w:r>
    </w:p>
    <w:p>
      <w:pPr>
        <w:spacing w:before="240" w:after="120"/>
      </w:pPr>
      <w:r>
        <w:rPr>
          <w:b/>
          <w:color w:val="888888"/>
          <w:sz w:val="22"/>
        </w:rPr>
        <w:t>▎ eLife</w:t>
      </w:r>
    </w:p>
    <w:p>
      <w:pPr>
        <w:spacing w:after="40"/>
      </w:pPr>
      <w:r>
        <w:rPr>
          <w:b/>
          <w:color w:val="1A1A1A"/>
          <w:sz w:val="26"/>
        </w:rPr>
        <w:t xml:space="preserve">11. </w:t>
      </w:r>
      <w:hyperlink r:id="rId19">
        <w:r>
          <w:rPr>
            <w:color w:val="004B7A"/>
            <w:u w:val="single"/>
            <w:b/>
            <w:sz w:val="26"/>
          </w:rPr>
          <w:t xml:space="preserve">Mood computational mechanisms underlying increased risk behavior in adolescent suicidal patients</w:t>
        </w:r>
      </w:hyperlink>
    </w:p>
    <w:p>
      <w:pPr>
        <w:spacing w:after="100"/>
      </w:pPr>
      <w:r>
        <w:rPr>
          <w:b w:val="0"/>
          <w:color w:val="888888"/>
          <w:sz w:val="18"/>
        </w:rPr>
        <w:t>Wang, Z., Nan, T., Lu, F., Yue, Y., Cai, X., He, Z., Luo, Y., Wang, T., Blain, B.</w:t>
      </w:r>
    </w:p>
    <w:p>
      <w:pPr>
        <w:spacing w:after="80"/>
      </w:pPr>
      <w:r>
        <w:rPr>
          <w:b/>
          <w:color w:val="1A1A1A"/>
          <w:sz w:val="22"/>
        </w:rPr>
        <w:t xml:space="preserve">内容简介 · </w:t>
      </w:r>
      <w:r>
        <w:rPr>
          <w:b w:val="0"/>
          <w:sz w:val="22"/>
        </w:rPr>
        <w:t>This study uses prospect-theory-based computational modeling to identify cognitive and affective mechanisms underlying elevated risk-taking in adolescent suicidal patients, finding that an elevated approach parameter and reduced mood sensitivity to certain rewards drive greater gambling behavior in this clinical group.</w:t>
      </w:r>
    </w:p>
    <w:p>
      <w:pPr>
        <w:spacing w:before="240" w:after="120"/>
      </w:pPr>
      <w:r>
        <w:rPr>
          <w:b/>
          <w:color w:val="888888"/>
          <w:sz w:val="22"/>
        </w:rPr>
        <w:t>▎ Nature Communications</w:t>
      </w:r>
    </w:p>
    <w:p>
      <w:pPr>
        <w:spacing w:after="40"/>
      </w:pPr>
      <w:r>
        <w:rPr>
          <w:b/>
          <w:color w:val="1A1A1A"/>
          <w:sz w:val="26"/>
        </w:rPr>
        <w:t xml:space="preserve">12. </w:t>
      </w:r>
      <w:hyperlink r:id="rId20">
        <w:r>
          <w:rPr>
            <w:color w:val="004B7A"/>
            <w:u w:val="single"/>
            <w:b/>
            <w:sz w:val="26"/>
          </w:rPr>
          <w:t xml:space="preserve">Automatic value learning results in counterproductive human behavior</w:t>
        </w:r>
      </w:hyperlink>
    </w:p>
    <w:p>
      <w:pPr>
        <w:spacing w:after="100"/>
      </w:pPr>
      <w:r>
        <w:rPr>
          <w:b w:val="0"/>
          <w:color w:val="888888"/>
          <w:sz w:val="18"/>
        </w:rPr>
        <w:t>Ben-Artzi, I., Pereg, M., Luria, R., Moran, R., Shahar, N.</w:t>
      </w:r>
    </w:p>
    <w:p>
      <w:pPr>
        <w:spacing w:after="80"/>
      </w:pPr>
      <w:r>
        <w:rPr>
          <w:b/>
          <w:color w:val="1A1A1A"/>
          <w:sz w:val="22"/>
        </w:rPr>
        <w:t xml:space="preserve">内容简介 · </w:t>
      </w:r>
      <w:r>
        <w:rPr>
          <w:b w:val="0"/>
          <w:sz w:val="22"/>
        </w:rPr>
        <w:t>This paper demonstrates that value learning occurs automatically for irrelevant action features, leading to suboptimal choices even when participants explicitly know those features are non-predictive of reward; working memory capacity moderates this outcome-irrelevant learning effect.</w:t>
      </w:r>
    </w:p>
    <w:p>
      <w:pPr>
        <w:spacing w:before="240" w:after="120"/>
      </w:pPr>
      <w:r>
        <w:rPr>
          <w:b/>
          <w:color w:val="888888"/>
          <w:sz w:val="22"/>
        </w:rPr>
        <w:t>▎ PLOS Computational Biology</w:t>
      </w:r>
    </w:p>
    <w:p>
      <w:pPr>
        <w:spacing w:after="40"/>
      </w:pPr>
      <w:r>
        <w:rPr>
          <w:b/>
          <w:color w:val="1A1A1A"/>
          <w:sz w:val="26"/>
        </w:rPr>
        <w:t xml:space="preserve">13. </w:t>
      </w:r>
      <w:hyperlink r:id="rId21">
        <w:r>
          <w:rPr>
            <w:color w:val="004B7A"/>
            <w:u w:val="single"/>
            <w:b/>
            <w:sz w:val="26"/>
          </w:rPr>
          <w:t xml:space="preserve">Decoding behavior with minimal and interpretable agent models</w:t>
        </w:r>
      </w:hyperlink>
    </w:p>
    <w:p>
      <w:pPr>
        <w:spacing w:after="100"/>
      </w:pPr>
      <w:r>
        <w:rPr>
          <w:b w:val="0"/>
          <w:color w:val="888888"/>
          <w:sz w:val="18"/>
        </w:rPr>
        <w:t>Nicoletti, G., Celani, A.</w:t>
      </w:r>
    </w:p>
    <w:p>
      <w:pPr>
        <w:spacing w:after="80"/>
      </w:pPr>
      <w:r>
        <w:rPr>
          <w:b/>
          <w:color w:val="1A1A1A"/>
          <w:sz w:val="22"/>
        </w:rPr>
        <w:t xml:space="preserve">内容简介 · </w:t>
      </w:r>
      <w:r>
        <w:rPr>
          <w:b w:val="0"/>
          <w:sz w:val="22"/>
        </w:rPr>
        <w:t>The paper introduces a method to infer interpretable agent models (recurrent discrete-state dynamics) from behavioral data alone, validated on synthetic agents and experimental data from rats doing evidence accumulation and mice deciding under uncertainty in changing environments. The approach aims to reveal the computational mechanisms underlying decision-making without prior knowledge of internal mechanisms.</w:t>
      </w:r>
    </w:p>
    <w:p>
      <w:pPr>
        <w:spacing w:before="240" w:after="120"/>
      </w:pPr>
      <w:r>
        <w:rPr>
          <w:b/>
          <w:color w:val="888888"/>
          <w:sz w:val="22"/>
        </w:rPr>
        <w:t>▎ Memory &amp; Cognition</w:t>
      </w:r>
    </w:p>
    <w:p>
      <w:pPr>
        <w:spacing w:after="40"/>
      </w:pPr>
      <w:r>
        <w:rPr>
          <w:b/>
          <w:color w:val="1A1A1A"/>
          <w:sz w:val="26"/>
        </w:rPr>
        <w:t xml:space="preserve">14. </w:t>
      </w:r>
      <w:hyperlink r:id="rId22">
        <w:r>
          <w:rPr>
            <w:color w:val="004B7A"/>
            <w:u w:val="single"/>
            <w:b/>
            <w:sz w:val="26"/>
          </w:rPr>
          <w:t xml:space="preserve">Quantifying the effects of prospective memory and ongoing task difficulty on capacity sharing and cognitive control</w:t>
        </w:r>
      </w:hyperlink>
    </w:p>
    <w:p>
      <w:pPr>
        <w:spacing w:after="100"/>
      </w:pPr>
      <w:r>
        <w:rPr>
          <w:b w:val="0"/>
          <w:color w:val="888888"/>
          <w:sz w:val="18"/>
        </w:rPr>
        <w:t>Boag, R., Strickland, L., Heathcote, A., Loft, S.</w:t>
      </w:r>
    </w:p>
    <w:p>
      <w:pPr>
        <w:spacing w:after="80"/>
      </w:pPr>
      <w:r>
        <w:rPr>
          <w:b/>
          <w:color w:val="1A1A1A"/>
          <w:sz w:val="22"/>
        </w:rPr>
        <w:t xml:space="preserve">内容简介 · </w:t>
      </w:r>
      <w:r>
        <w:rPr>
          <w:b w:val="0"/>
          <w:sz w:val="22"/>
        </w:rPr>
        <w:t>This study uses a cognitive process model (PMDC) applied to an air-traffic control task to quantify how people allocate limited cognitive capacity and adjust decision thresholds when managing prospective memory alongside ongoing task demands of varying difficulty. It finds distinct roles for capacity sharing and cognitive control in adapting to dual-task complexity.</w:t>
      </w:r>
    </w:p>
    <w:p>
      <w:pPr>
        <w:spacing w:before="480" w:after="40"/>
      </w:pPr>
      <w:r>
        <w:rPr>
          <w:b/>
          <w:color w:val="3D3A78"/>
          <w:sz w:val="30"/>
        </w:rPr>
        <w:t>Ⅲ  神经科学 · Neuroscience（2）</w:t>
      </w:r>
    </w:p>
    <w:p>
      <w:pPr>
        <w:spacing w:before="240" w:after="120"/>
      </w:pPr>
      <w:r>
        <w:rPr>
          <w:b/>
          <w:color w:val="888888"/>
          <w:sz w:val="22"/>
        </w:rPr>
        <w:t>▎ Nature Communications</w:t>
      </w:r>
    </w:p>
    <w:p>
      <w:pPr>
        <w:spacing w:after="40"/>
      </w:pPr>
      <w:r>
        <w:rPr>
          <w:b/>
          <w:color w:val="1A1A1A"/>
          <w:sz w:val="26"/>
        </w:rPr>
        <w:t xml:space="preserve">15. </w:t>
      </w:r>
      <w:hyperlink r:id="rId23">
        <w:r>
          <w:rPr>
            <w:color w:val="004B7A"/>
            <w:u w:val="single"/>
            <w:b/>
            <w:sz w:val="26"/>
          </w:rPr>
          <w:t xml:space="preserve">Complementary and opponent value signals in the human brain support choosing the best and avoiding the worst</w:t>
        </w:r>
      </w:hyperlink>
    </w:p>
    <w:p>
      <w:pPr>
        <w:spacing w:after="100"/>
      </w:pPr>
      <w:r>
        <w:rPr>
          <w:b w:val="0"/>
          <w:color w:val="888888"/>
          <w:sz w:val="18"/>
        </w:rPr>
        <w:t>Baratin, C., Lopez-Persem, A., Kahane, P., Minotti, L., Hammer, J., Marusič, P., Nica, A., Rheims, S., Maillard, L., Denuelle, M., Barbeau, E., Chanteloup-Forêt, B., Pessiglione, M., Becq, G., Bastin, J.</w:t>
      </w:r>
    </w:p>
    <w:p>
      <w:pPr>
        <w:spacing w:after="80"/>
      </w:pPr>
      <w:r>
        <w:rPr>
          <w:b/>
          <w:color w:val="1A1A1A"/>
          <w:sz w:val="22"/>
        </w:rPr>
        <w:t xml:space="preserve">内容简介 · </w:t>
      </w:r>
      <w:r>
        <w:rPr>
          <w:b w:val="0"/>
          <w:sz w:val="22"/>
        </w:rPr>
        <w:t>Using intracranial recordings, the paper shows that vmPFC tracks pleasant item values and anterior insula tracks unpleasant item values during rating and choice, revealing complementary neural systems that guide value-based decisions across different contexts and frames.</w:t>
      </w:r>
    </w:p>
    <w:p>
      <w:pPr>
        <w:spacing w:before="240" w:after="120"/>
      </w:pPr>
      <w:r>
        <w:rPr>
          <w:b/>
          <w:color w:val="888888"/>
          <w:sz w:val="22"/>
        </w:rPr>
        <w:t>▎ Journal of Economic Behavior &amp; Organization</w:t>
      </w:r>
    </w:p>
    <w:p>
      <w:pPr>
        <w:spacing w:after="40"/>
      </w:pPr>
      <w:r>
        <w:rPr>
          <w:b/>
          <w:color w:val="1A1A1A"/>
          <w:sz w:val="26"/>
        </w:rPr>
        <w:t xml:space="preserve">16. </w:t>
      </w:r>
      <w:hyperlink r:id="rId24">
        <w:r>
          <w:rPr>
            <w:color w:val="004B7A"/>
            <w:u w:val="single"/>
            <w:b/>
            <w:sz w:val="26"/>
          </w:rPr>
          <w:t xml:space="preserve">The affective cost of spending: neuroeconomic and experimental evidence on the pain of paying</w:t>
        </w:r>
      </w:hyperlink>
    </w:p>
    <w:p>
      <w:pPr>
        <w:spacing w:after="100"/>
      </w:pPr>
      <w:r>
        <w:rPr>
          <w:b w:val="0"/>
          <w:color w:val="888888"/>
          <w:sz w:val="18"/>
        </w:rPr>
        <w:t>Robitaille, N., Plassmann, H., Mazar, N., Lindner, A.</w:t>
      </w:r>
    </w:p>
    <w:p>
      <w:pPr>
        <w:spacing w:after="80"/>
      </w:pPr>
      <w:r>
        <w:rPr>
          <w:b/>
          <w:color w:val="1A1A1A"/>
          <w:sz w:val="22"/>
        </w:rPr>
        <w:t xml:space="preserve">内容简介 · </w:t>
      </w:r>
      <w:r>
        <w:rPr>
          <w:b w:val="0"/>
          <w:sz w:val="22"/>
        </w:rPr>
        <w:t>This paper uses fMRI and a reverse-placebo paradigm to show that spending money activates affective (but not somatosensory) pain circuits in the brain, and that manipulating perceived affective pain causally influences willingness to pay, providing neural and behavioral evidence for the 'pain of paying' construct in consumer decision making.</w:t>
      </w:r>
    </w:p>
    <w:p>
      <w:pPr>
        <w:spacing w:before="320" w:after="0"/>
        <w:jc w:val="center"/>
      </w:pPr>
      <w:r>
        <w:rPr>
          <w:b w:val="0"/>
          <w:color w:val="888888"/>
          <w:sz w:val="18"/>
        </w:rPr>
        <w:t>点击文末「阅读原文」查看全部论文与可点击的 DOI 链接。</w:t>
      </w:r>
    </w:p>
    <w:p>
      <w:pPr>
        <w:jc w:val="center"/>
      </w:pPr>
      <w:r>
        <w:rPr>
          <w:b w:val="0"/>
          <w:color w:val="888888"/>
          <w:sz w:val="16"/>
        </w:rPr>
        <w:t>由自动化文献管线生成；摘要与推荐理由由模型自动生成，可能不完整，请以原文为准。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07/s11238-026-10155-2" TargetMode="External"/><Relationship Id="rId10" Type="http://schemas.openxmlformats.org/officeDocument/2006/relationships/hyperlink" Target="https://doi.org/10.1007/s11166-026-09506-9" TargetMode="External"/><Relationship Id="rId11" Type="http://schemas.openxmlformats.org/officeDocument/2006/relationships/hyperlink" Target="https://doi.org/10.1016/j.jebo.2026.107624" TargetMode="External"/><Relationship Id="rId12" Type="http://schemas.openxmlformats.org/officeDocument/2006/relationships/hyperlink" Target="https://doi.org/10.1016/j.jebo.2026.107632" TargetMode="External"/><Relationship Id="rId13" Type="http://schemas.openxmlformats.org/officeDocument/2006/relationships/hyperlink" Target="https://doi.org/10.1287/mnsc.2023.01558" TargetMode="External"/><Relationship Id="rId14" Type="http://schemas.openxmlformats.org/officeDocument/2006/relationships/hyperlink" Target="https://doi.org/10.1016/j.tics.2026.07.003" TargetMode="External"/><Relationship Id="rId15" Type="http://schemas.openxmlformats.org/officeDocument/2006/relationships/hyperlink" Target="https://doi.org/10.1002/bdm.70088" TargetMode="External"/><Relationship Id="rId16" Type="http://schemas.openxmlformats.org/officeDocument/2006/relationships/hyperlink" Target="https://doi.org/10.1016/j.jmp.2026.103011" TargetMode="External"/><Relationship Id="rId17" Type="http://schemas.openxmlformats.org/officeDocument/2006/relationships/hyperlink" Target="https://doi.org/10.1016/j.jmp.2026.103004" TargetMode="External"/><Relationship Id="rId18" Type="http://schemas.openxmlformats.org/officeDocument/2006/relationships/hyperlink" Target="https://doi.org/10.1016/j.jmp.2026.102994" TargetMode="External"/><Relationship Id="rId19" Type="http://schemas.openxmlformats.org/officeDocument/2006/relationships/hyperlink" Target="https://doi.org/10.7554/elife.108002" TargetMode="External"/><Relationship Id="rId20" Type="http://schemas.openxmlformats.org/officeDocument/2006/relationships/hyperlink" Target="https://doi.org/10.1038/s41467-026-76297-7" TargetMode="External"/><Relationship Id="rId21" Type="http://schemas.openxmlformats.org/officeDocument/2006/relationships/hyperlink" Target="https://doi.org/10.1371/journal.pcbi.1014585" TargetMode="External"/><Relationship Id="rId22" Type="http://schemas.openxmlformats.org/officeDocument/2006/relationships/hyperlink" Target="https://doi.org/10.3758/s13421-026-01929-8" TargetMode="External"/><Relationship Id="rId23" Type="http://schemas.openxmlformats.org/officeDocument/2006/relationships/hyperlink" Target="https://doi.org/10.1038/s41467-026-76593-2" TargetMode="External"/><Relationship Id="rId24" Type="http://schemas.openxmlformats.org/officeDocument/2006/relationships/hyperlink" Target="https://doi.org/10.1016/j.jebo.2026.1076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