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文献汇总：8月下</w:t>
      </w:r>
    </w:p>
    <w:p>
      <w:pPr>
        <w:spacing w:after="200"/>
        <w:jc w:val="center"/>
      </w:pPr>
      <w:r>
        <w:rPr>
          <w:b w:val="0"/>
          <w:color w:val="888888"/>
          <w:sz w:val="18"/>
        </w:rPr>
        <w:t>2026-08-16 → 2026-08-31 · 共 8 篇</w:t>
      </w:r>
    </w:p>
    <w:p>
      <w:pPr>
        <w:spacing w:before="480" w:after="40"/>
      </w:pPr>
      <w:r>
        <w:rPr>
          <w:b/>
          <w:color w:val="1C5D54"/>
          <w:sz w:val="30"/>
        </w:rPr>
        <w:t>Ⅰ  经济学 · Economics（3）</w:t>
      </w:r>
    </w:p>
    <w:p>
      <w:pPr>
        <w:spacing w:before="240" w:after="120"/>
      </w:pPr>
      <w:r>
        <w:rPr>
          <w:b/>
          <w:color w:val="888888"/>
          <w:sz w:val="22"/>
        </w:rPr>
        <w:t>▎ Management Science</w:t>
      </w:r>
    </w:p>
    <w:p>
      <w:pPr>
        <w:spacing w:after="40"/>
      </w:pPr>
      <w:r>
        <w:rPr>
          <w:b/>
          <w:color w:val="1A1A1A"/>
          <w:sz w:val="26"/>
        </w:rPr>
        <w:t xml:space="preserve">1. </w:t>
      </w:r>
      <w:hyperlink r:id="rId9">
        <w:r>
          <w:rPr>
            <w:color w:val="004B7A"/>
            <w:u w:val="single"/>
            <w:b/>
            <w:sz w:val="26"/>
          </w:rPr>
          <w:t xml:space="preserve">An Analysis of Heritability in Preferences Using Behavioral Models of Decision Making</w:t>
        </w:r>
      </w:hyperlink>
    </w:p>
    <w:p>
      <w:pPr>
        <w:spacing w:after="100"/>
      </w:pPr>
      <w:r>
        <w:rPr>
          <w:b w:val="0"/>
          <w:color w:val="888888"/>
          <w:sz w:val="18"/>
        </w:rPr>
        <w:t>Kettlewell, N., Tymula, A., Yoo, H.</w:t>
      </w:r>
    </w:p>
    <w:p>
      <w:pPr>
        <w:spacing w:after="80"/>
      </w:pPr>
      <w:r>
        <w:rPr>
          <w:b/>
          <w:color w:val="1A1A1A"/>
          <w:sz w:val="22"/>
        </w:rPr>
        <w:t xml:space="preserve">内容简介 · </w:t>
      </w:r>
      <w:r>
        <w:rPr>
          <w:b w:val="0"/>
          <w:sz w:val="22"/>
        </w:rPr>
        <w:t>This paper uses a large-scale twin study combined with structural econometric models to estimate the heritability of latent risk, uncertainty, and time preference parameters, finding stronger genetic influences than previously reported and showing that proxy measures overstate environmental factors.</w:t>
      </w:r>
    </w:p>
    <w:p>
      <w:pPr>
        <w:spacing w:before="120" w:after="240"/>
        <w:jc w:val="center"/>
      </w:pPr>
      <w:r>
        <w:rPr>
          <w:b w:val="0"/>
          <w:color w:val="888888"/>
          <w:sz w:val="20"/>
        </w:rPr>
        <w:t>· · ·</w:t>
      </w:r>
    </w:p>
    <w:p>
      <w:pPr>
        <w:spacing w:after="40"/>
      </w:pPr>
      <w:r>
        <w:rPr>
          <w:b/>
          <w:color w:val="1A1A1A"/>
          <w:sz w:val="26"/>
        </w:rPr>
        <w:t xml:space="preserve">2. </w:t>
      </w:r>
      <w:hyperlink r:id="rId10">
        <w:r>
          <w:rPr>
            <w:color w:val="004B7A"/>
            <w:u w:val="single"/>
            <w:b/>
            <w:sz w:val="26"/>
          </w:rPr>
          <w:t xml:space="preserve">Why Context Influences Preferences Elicited with Willingness to Pay Less Than Preferences Elicited with Choice</w:t>
        </w:r>
      </w:hyperlink>
    </w:p>
    <w:p>
      <w:pPr>
        <w:spacing w:after="100"/>
      </w:pPr>
      <w:r>
        <w:rPr>
          <w:b w:val="0"/>
          <w:color w:val="888888"/>
          <w:sz w:val="18"/>
        </w:rPr>
        <w:t>Lee, C., Mazar, N., Morewedge, C.</w:t>
      </w:r>
    </w:p>
    <w:p>
      <w:pPr>
        <w:spacing w:after="80"/>
      </w:pPr>
      <w:r>
        <w:rPr>
          <w:b/>
          <w:color w:val="1A1A1A"/>
          <w:sz w:val="22"/>
        </w:rPr>
        <w:t xml:space="preserve">内容简介 · </w:t>
      </w:r>
      <w:r>
        <w:rPr>
          <w:b w:val="0"/>
          <w:sz w:val="22"/>
        </w:rPr>
        <w:t>This paper investigates why context effects (framing, attraction, intertemporal tradeoffs) are weaker when preferences are elicited via willingness-to-pay/accept versus choice, arguing that monetary elicitations trigger comparisons to external market standards that dampen local context influences. Across 22 studies with various goods including lotteries, the authors find systematic support for this boundary condition on preference construction.</w:t>
      </w:r>
    </w:p>
    <w:p>
      <w:pPr>
        <w:spacing w:before="240" w:after="120"/>
      </w:pPr>
      <w:r>
        <w:rPr>
          <w:b/>
          <w:color w:val="888888"/>
          <w:sz w:val="22"/>
        </w:rPr>
        <w:t>▎ Journal of Political Economy</w:t>
      </w:r>
    </w:p>
    <w:p>
      <w:pPr>
        <w:spacing w:after="40"/>
      </w:pPr>
      <w:r>
        <w:rPr>
          <w:b/>
          <w:color w:val="1A1A1A"/>
          <w:sz w:val="26"/>
        </w:rPr>
        <w:t xml:space="preserve">3. </w:t>
      </w:r>
      <w:hyperlink r:id="rId11">
        <w:r>
          <w:rPr>
            <w:color w:val="004B7A"/>
            <w:u w:val="single"/>
            <w:b/>
            <w:sz w:val="26"/>
          </w:rPr>
          <w:t xml:space="preserve">Connecting Common Ratio and Common Consequence Preferences</w:t>
        </w:r>
      </w:hyperlink>
    </w:p>
    <w:p>
      <w:pPr>
        <w:spacing w:after="100"/>
      </w:pPr>
      <w:r>
        <w:rPr>
          <w:b w:val="0"/>
          <w:color w:val="888888"/>
          <w:sz w:val="18"/>
        </w:rPr>
        <w:t>McGranaghan, C., Nielsen, K., O'Donoghue, T., Somerville, J., Sprenger, C.</w:t>
      </w:r>
    </w:p>
    <w:p>
      <w:pPr>
        <w:spacing w:after="80"/>
      </w:pPr>
      <w:r>
        <w:rPr>
          <w:b/>
          <w:color w:val="1A1A1A"/>
          <w:sz w:val="22"/>
        </w:rPr>
        <w:t xml:space="preserve">内容简介 · </w:t>
      </w:r>
      <w:r>
        <w:rPr>
          <w:b w:val="0"/>
          <w:sz w:val="22"/>
        </w:rPr>
        <w:t>The paper explores the relationship between common ratio and common consequence preference patterns, two foundational phenomena that violate expected utility theory and illuminate how people weight probabilities and outcomes in risky choices.</w:t>
      </w:r>
    </w:p>
    <w:p>
      <w:pPr>
        <w:spacing w:before="480" w:after="40"/>
      </w:pPr>
      <w:r>
        <w:rPr>
          <w:b/>
          <w:color w:val="8A2B3A"/>
          <w:sz w:val="30"/>
        </w:rPr>
        <w:t>Ⅱ  心理学 · Psychology（3）</w:t>
      </w:r>
    </w:p>
    <w:p>
      <w:pPr>
        <w:spacing w:before="240" w:after="120"/>
      </w:pPr>
      <w:r>
        <w:rPr>
          <w:b/>
          <w:color w:val="888888"/>
          <w:sz w:val="22"/>
        </w:rPr>
        <w:t>▎ Psychonomic Bulletin &amp; Review</w:t>
      </w:r>
    </w:p>
    <w:p>
      <w:pPr>
        <w:spacing w:after="40"/>
      </w:pPr>
      <w:r>
        <w:rPr>
          <w:b/>
          <w:color w:val="1A1A1A"/>
          <w:sz w:val="26"/>
        </w:rPr>
        <w:t xml:space="preserve">4. </w:t>
      </w:r>
      <w:hyperlink r:id="rId12">
        <w:r>
          <w:rPr>
            <w:color w:val="004B7A"/>
            <w:u w:val="single"/>
            <w:b/>
            <w:sz w:val="26"/>
          </w:rPr>
          <w:t xml:space="preserve">Dissociating the relationship between time perception and decisions to delay gratification</w:t>
        </w:r>
      </w:hyperlink>
    </w:p>
    <w:p>
      <w:pPr>
        <w:spacing w:after="100"/>
      </w:pPr>
      <w:r>
        <w:rPr>
          <w:b w:val="0"/>
          <w:color w:val="888888"/>
          <w:sz w:val="18"/>
        </w:rPr>
        <w:t>George, I., Moll, M., Read, R., Stealey, H., Elston, T.</w:t>
      </w:r>
    </w:p>
    <w:p>
      <w:pPr>
        <w:spacing w:after="80"/>
      </w:pPr>
      <w:r>
        <w:rPr>
          <w:b/>
          <w:color w:val="1A1A1A"/>
          <w:sz w:val="22"/>
        </w:rPr>
        <w:t xml:space="preserve">内容简介 · </w:t>
      </w:r>
      <w:r>
        <w:rPr>
          <w:b w:val="0"/>
          <w:sz w:val="22"/>
        </w:rPr>
        <w:t>This study tests whether individual differences in time perception explain differences in delay discounting across 226 participants, finding no such relationship and concluding that time perception and temporal decision-making reflect dissociable cognitive processes with standard discounting measures showing limited ecological validity.</w:t>
      </w:r>
    </w:p>
    <w:p>
      <w:pPr>
        <w:spacing w:before="240" w:after="120"/>
      </w:pPr>
      <w:r>
        <w:rPr>
          <w:b/>
          <w:color w:val="888888"/>
          <w:sz w:val="22"/>
        </w:rPr>
        <w:t>▎ PLOS Computational Biology</w:t>
      </w:r>
    </w:p>
    <w:p>
      <w:pPr>
        <w:spacing w:after="40"/>
      </w:pPr>
      <w:r>
        <w:rPr>
          <w:b/>
          <w:color w:val="1A1A1A"/>
          <w:sz w:val="26"/>
        </w:rPr>
        <w:t xml:space="preserve">5. </w:t>
      </w:r>
      <w:hyperlink r:id="rId13">
        <w:r>
          <w:rPr>
            <w:color w:val="004B7A"/>
            <w:u w:val="single"/>
            <w:b/>
            <w:sz w:val="26"/>
          </w:rPr>
          <w:t xml:space="preserve">The perils of omitting omissions when modeling evidence accumulation</w:t>
        </w:r>
      </w:hyperlink>
    </w:p>
    <w:p>
      <w:pPr>
        <w:spacing w:after="100"/>
      </w:pPr>
      <w:r>
        <w:rPr>
          <w:b w:val="0"/>
          <w:color w:val="888888"/>
          <w:sz w:val="18"/>
        </w:rPr>
        <w:t>Leng, X., Fengler, A., Shenhav, A., Frank, M.</w:t>
      </w:r>
    </w:p>
    <w:p>
      <w:pPr>
        <w:spacing w:after="80"/>
      </w:pPr>
      <w:r>
        <w:rPr>
          <w:b/>
          <w:color w:val="1A1A1A"/>
          <w:sz w:val="22"/>
        </w:rPr>
        <w:t xml:space="preserve">内容简介 · </w:t>
      </w:r>
      <w:r>
        <w:rPr>
          <w:b w:val="0"/>
          <w:sz w:val="22"/>
        </w:rPr>
        <w:t>This paper demonstrates that omitting no-response trials (omissions) from sequential sampling model analyses causes biased parameter estimates, and proposes likelihood-free inference methods to jointly model observed responses and omissions for improved inference. The work has direct implications for the reliability of computational models of choice and response-time behavior.</w:t>
      </w:r>
    </w:p>
    <w:p>
      <w:pPr>
        <w:spacing w:before="240" w:after="120"/>
      </w:pPr>
      <w:r>
        <w:rPr>
          <w:b/>
          <w:color w:val="888888"/>
          <w:sz w:val="22"/>
        </w:rPr>
        <w:t>▎ Nature Human Behaviour</w:t>
      </w:r>
    </w:p>
    <w:p>
      <w:pPr>
        <w:spacing w:after="40"/>
      </w:pPr>
      <w:r>
        <w:rPr>
          <w:b/>
          <w:color w:val="1A1A1A"/>
          <w:sz w:val="26"/>
        </w:rPr>
        <w:t xml:space="preserve">6. </w:t>
      </w:r>
      <w:hyperlink r:id="rId14">
        <w:r>
          <w:rPr>
            <w:color w:val="004B7A"/>
            <w:u w:val="single"/>
            <w:b/>
            <w:sz w:val="26"/>
          </w:rPr>
          <w:t xml:space="preserve">Trial-by-trial fluctuations in decision criterion shape confidence</w:t>
        </w:r>
      </w:hyperlink>
    </w:p>
    <w:p>
      <w:pPr>
        <w:spacing w:after="100"/>
      </w:pPr>
      <w:r>
        <w:rPr>
          <w:b w:val="0"/>
          <w:color w:val="888888"/>
          <w:sz w:val="18"/>
        </w:rPr>
        <w:t>Vloeberghs, R., Navarrete Orejudo, L., Urai, A., Desender, K.</w:t>
      </w:r>
    </w:p>
    <w:p>
      <w:pPr>
        <w:spacing w:after="80"/>
      </w:pPr>
      <w:r>
        <w:rPr>
          <w:b/>
          <w:color w:val="1A1A1A"/>
          <w:sz w:val="22"/>
        </w:rPr>
        <w:t xml:space="preserve">内容简介 · </w:t>
      </w:r>
      <w:r>
        <w:rPr>
          <w:b w:val="0"/>
          <w:sz w:val="22"/>
        </w:rPr>
        <w:t>The paper investigates how fluctuations in decision criteria across trials influence confidence judgments, likely using computational or formal modeling approaches relevant to evidence accumulation and metacognition in decision making.</w:t>
      </w:r>
    </w:p>
    <w:p>
      <w:pPr>
        <w:spacing w:before="480" w:after="40"/>
      </w:pPr>
      <w:r>
        <w:rPr>
          <w:b/>
          <w:color w:val="3D3A78"/>
          <w:sz w:val="30"/>
        </w:rPr>
        <w:t>Ⅲ  神经科学 · Neuroscience（2）</w:t>
      </w:r>
    </w:p>
    <w:p>
      <w:pPr>
        <w:spacing w:before="240" w:after="120"/>
      </w:pPr>
      <w:r>
        <w:rPr>
          <w:b/>
          <w:color w:val="888888"/>
          <w:sz w:val="22"/>
        </w:rPr>
        <w:t>▎ eLife</w:t>
      </w:r>
    </w:p>
    <w:p>
      <w:pPr>
        <w:spacing w:after="40"/>
      </w:pPr>
      <w:r>
        <w:rPr>
          <w:b/>
          <w:color w:val="1A1A1A"/>
          <w:sz w:val="26"/>
        </w:rPr>
        <w:t xml:space="preserve">7. </w:t>
      </w:r>
      <w:hyperlink r:id="rId15">
        <w:r>
          <w:rPr>
            <w:color w:val="004B7A"/>
            <w:u w:val="single"/>
            <w:b/>
            <w:sz w:val="26"/>
          </w:rPr>
          <w:t xml:space="preserve">Overt visual attention modulates decision-related signals in the frontal cortex</w:t>
        </w:r>
      </w:hyperlink>
    </w:p>
    <w:p>
      <w:pPr>
        <w:spacing w:after="100"/>
      </w:pPr>
      <w:r>
        <w:rPr>
          <w:b w:val="0"/>
          <w:color w:val="888888"/>
          <w:sz w:val="18"/>
        </w:rPr>
        <w:t>Shevlin, B., Gwinn, R., Makwana, A., Krajbich, I.</w:t>
      </w:r>
    </w:p>
    <w:p>
      <w:pPr>
        <w:spacing w:after="80"/>
      </w:pPr>
      <w:r>
        <w:rPr>
          <w:b/>
          <w:color w:val="1A1A1A"/>
          <w:sz w:val="22"/>
        </w:rPr>
        <w:t xml:space="preserve">内容简介 · </w:t>
      </w:r>
      <w:r>
        <w:rPr>
          <w:b w:val="0"/>
          <w:sz w:val="22"/>
        </w:rPr>
        <w:t>Using simultaneous eye-tracking and fMRI during food-lottery decisions, the authors show that gaze amplifies accumulated-value signals in pre-SMA and dlPFC, providing neural evidence that visual attention shapes decision variables in a gaze-weighted evidence accumulation framework.</w:t>
      </w:r>
    </w:p>
    <w:p>
      <w:pPr>
        <w:spacing w:before="240" w:after="120"/>
      </w:pPr>
      <w:r>
        <w:rPr>
          <w:b/>
          <w:color w:val="888888"/>
          <w:sz w:val="22"/>
        </w:rPr>
        <w:t>▎ PNAS</w:t>
      </w:r>
    </w:p>
    <w:p>
      <w:pPr>
        <w:spacing w:after="40"/>
      </w:pPr>
      <w:r>
        <w:rPr>
          <w:b/>
          <w:color w:val="1A1A1A"/>
          <w:sz w:val="26"/>
        </w:rPr>
        <w:t xml:space="preserve">8. </w:t>
      </w:r>
      <w:hyperlink r:id="rId16">
        <w:r>
          <w:rPr>
            <w:color w:val="004B7A"/>
            <w:u w:val="single"/>
            <w:b/>
            <w:sz w:val="26"/>
          </w:rPr>
          <w:t xml:space="preserve">Interactive representations of power and status signals in learning social hierarchies</w:t>
        </w:r>
      </w:hyperlink>
    </w:p>
    <w:p>
      <w:pPr>
        <w:spacing w:after="100"/>
      </w:pPr>
      <w:r>
        <w:rPr>
          <w:b w:val="0"/>
          <w:color w:val="888888"/>
          <w:sz w:val="18"/>
        </w:rPr>
        <w:t>Feng, C., Liu, F., Yang, B., Derrington, E., Luo, Y., Qu, C., Dreher, J.</w:t>
      </w:r>
    </w:p>
    <w:p>
      <w:pPr>
        <w:spacing w:after="80"/>
      </w:pPr>
      <w:r>
        <w:rPr>
          <w:b/>
          <w:color w:val="1A1A1A"/>
          <w:sz w:val="22"/>
        </w:rPr>
        <w:t xml:space="preserve">内容简介 · </w:t>
      </w:r>
      <w:r>
        <w:rPr>
          <w:b w:val="0"/>
          <w:sz w:val="22"/>
        </w:rPr>
        <w:t>Using fMRI and computational modeling, the paper investigates how individuals learn others' status and power from social feedback and how these signals shape advice-taking and response biases in a risky choice task, finding partially separable neural representations in mPFC and amygdala.</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287/mnsc.2025.00669" TargetMode="External"/><Relationship Id="rId10" Type="http://schemas.openxmlformats.org/officeDocument/2006/relationships/hyperlink" Target="https://doi.org/10.1287/mnsc.2023.00913" TargetMode="External"/><Relationship Id="rId11" Type="http://schemas.openxmlformats.org/officeDocument/2006/relationships/hyperlink" Target="https://doi.org/10.1086/743896" TargetMode="External"/><Relationship Id="rId12" Type="http://schemas.openxmlformats.org/officeDocument/2006/relationships/hyperlink" Target="https://doi.org/10.3758/s13423-026-02992-7" TargetMode="External"/><Relationship Id="rId13" Type="http://schemas.openxmlformats.org/officeDocument/2006/relationships/hyperlink" Target="https://doi.org/10.1371/journal.pcbi.1014667" TargetMode="External"/><Relationship Id="rId14" Type="http://schemas.openxmlformats.org/officeDocument/2006/relationships/hyperlink" Target="https://doi.org/10.1038/s41562-026-02544-y" TargetMode="External"/><Relationship Id="rId15" Type="http://schemas.openxmlformats.org/officeDocument/2006/relationships/hyperlink" Target="https://doi.org/10.7554/elife.103846" TargetMode="External"/><Relationship Id="rId16" Type="http://schemas.openxmlformats.org/officeDocument/2006/relationships/hyperlink" Target="https://doi.org/10.1073/pnas.2532908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